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Effect of a 20% Inclusionary Rate Inside the</w:t>
        <w:br/>
        <w:t>Smart &amp; Sustainable Corridors Specific Plan</w:t>
      </w:r>
    </w:p>
    <w:p>
      <w:pPr>
        <w:jc w:val="center"/>
      </w:pPr>
      <w:r>
        <w:rPr>
          <w:i/>
          <w:color w:val="666666"/>
          <w:sz w:val="24"/>
        </w:rPr>
        <w:t>Policy Analysis — June 2026</w:t>
      </w:r>
    </w:p>
    <w:p/>
    <w:p>
      <w:pPr>
        <w:pStyle w:val="Heading2"/>
      </w:pPr>
      <w:r>
        <w:t>What the SSCSP Says About Affordability</w:t>
      </w:r>
    </w:p>
    <w:p>
      <w:r>
        <w:t>The Smart &amp; Sustainable Corridors Specific Plan (SSCSP), going to City Council for adoption on June 24, 2026, defers entirely to the citywide Inclusionary Housing Ordinance for affordable housing requirements. Chapter 3 (Land Use), page 3-6 states: "Income-restricted housing will be implemented through the City's Inclusionary Housing Ordinance and state incentives for affordable housing."</w:t>
      </w:r>
    </w:p>
    <w:p>
      <w:r>
        <w:t>There is no SSCSP-specific inclusionary rate. Whatever the citywide IHO requires, the corridors follow. The current citywide IHO requires a 10% affordable set-aside.</w:t>
      </w:r>
    </w:p>
    <w:p>
      <w:pPr>
        <w:pStyle w:val="Heading2"/>
      </w:pPr>
      <w:r>
        <w:t>Projected Buildout Numbers</w:t>
      </w:r>
    </w:p>
    <w:p>
      <w:r>
        <w:t>Table 3-8 of the SSCSP projects the following residential buildout across the three corridors: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Corridor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Existing Units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Projected New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Mission Avenue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4,100</w:t>
            </w:r>
          </w:p>
        </w:tc>
        <w:tc>
          <w:tcPr>
            <w:tcW w:type="dxa" w:w="2160"/>
          </w:tcPr>
          <w:p>
            <w:r>
              <w:t>4,400</w:t>
            </w:r>
          </w:p>
        </w:tc>
      </w:tr>
      <w:tr>
        <w:tc>
          <w:tcPr>
            <w:tcW w:type="dxa" w:w="2160"/>
          </w:tcPr>
          <w:p>
            <w:r>
              <w:t>Oceanside Blvd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3,500</w:t>
            </w:r>
          </w:p>
        </w:tc>
        <w:tc>
          <w:tcPr>
            <w:tcW w:type="dxa" w:w="2160"/>
          </w:tcPr>
          <w:p>
            <w:r>
              <w:t>3,600</w:t>
            </w:r>
          </w:p>
        </w:tc>
      </w:tr>
      <w:tr>
        <w:tc>
          <w:tcPr>
            <w:tcW w:type="dxa" w:w="2160"/>
          </w:tcPr>
          <w:p>
            <w:r>
              <w:t>Vista Way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1,100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8,300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9,100</w:t>
            </w:r>
          </w:p>
        </w:tc>
      </w:tr>
    </w:tbl>
    <w:p/>
    <w:p>
      <w:r>
        <w:t>The SSCSP also projects 14,500 new jobs and a population increase of 22,200 within the Planning Area by 2050. Approximately 50% of all new citywide residential development is projected to occur within these three corridors.</w:t>
      </w:r>
    </w:p>
    <w:p>
      <w:pPr>
        <w:pStyle w:val="Heading2"/>
      </w:pPr>
      <w:r>
        <w:t>Affordable Unit Production by Inclusionary Rate</w:t>
      </w:r>
    </w:p>
    <w:p>
      <w:r>
        <w:t>Simple arithmetic suggests doubling the inclusionary rate doubles affordable output. The city's own feasibility data shows the opposite.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Units Built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Affordable @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Affordable Produced</w:t>
            </w:r>
          </w:p>
        </w:tc>
      </w:tr>
      <w:tr>
        <w:tc>
          <w:tcPr>
            <w:tcW w:type="dxa" w:w="2160"/>
          </w:tcPr>
          <w:p>
            <w:r>
              <w:t>10% IHO (current)</w:t>
            </w:r>
          </w:p>
        </w:tc>
        <w:tc>
          <w:tcPr>
            <w:tcW w:type="dxa" w:w="2160"/>
          </w:tcPr>
          <w:p>
            <w:r>
              <w:t>~8,300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~830</w:t>
            </w:r>
          </w:p>
        </w:tc>
      </w:tr>
      <w:tr>
        <w:tc>
          <w:tcPr>
            <w:tcW w:type="dxa" w:w="2160"/>
          </w:tcPr>
          <w:p>
            <w:r>
              <w:t>15% IHO</w:t>
            </w:r>
          </w:p>
        </w:tc>
        <w:tc>
          <w:tcPr>
            <w:tcW w:type="dxa" w:w="2160"/>
          </w:tcPr>
          <w:p>
            <w:r>
              <w:t>~5,000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~750</w:t>
            </w:r>
          </w:p>
        </w:tc>
      </w:tr>
      <w:tr>
        <w:tc>
          <w:tcPr>
            <w:tcW w:type="dxa" w:w="2160"/>
          </w:tcPr>
          <w:p>
            <w:r>
              <w:t>20% IHO</w:t>
            </w:r>
          </w:p>
        </w:tc>
        <w:tc>
          <w:tcPr>
            <w:tcW w:type="dxa" w:w="2160"/>
          </w:tcPr>
          <w:p>
            <w:r>
              <w:t>~2,500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~500</w:t>
            </w:r>
          </w:p>
        </w:tc>
      </w:tr>
    </w:tbl>
    <w:p/>
    <w:p>
      <w:r>
        <w:rPr>
          <w:b/>
        </w:rPr>
        <w:t>Doubling the inclusionary rate cuts affordable production by approximately 40%. You get fewer affordable units AND fewer market units.</w:t>
      </w:r>
    </w:p>
    <w:p>
      <w:pPr>
        <w:pStyle w:val="Heading2"/>
      </w:pPr>
      <w:r>
        <w:t>Why 20% Kills the Pipeline: The DRA Feasibility Study</w:t>
      </w:r>
    </w:p>
    <w:p>
      <w:r>
        <w:t>The City of Oceanside commissioned DRA (Development Resource Advisors) to produce an Inclusionary Housing Study in February 2022. This study modeled the residual land value (RLV) — the price a developer can pay for land after accounting for all construction costs and required returns — at different inclusionary set-aside levels.</w:t>
      </w:r>
    </w:p>
    <w:p>
      <w:r>
        <w:t>The feasibility cliff hits at 15%, not 20%: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Prototype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10% Set-Aside RLV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15% Set-Aside RLV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Direction at 20%</w:t>
            </w:r>
          </w:p>
        </w:tc>
      </w:tr>
      <w:tr>
        <w:tc>
          <w:tcPr>
            <w:tcW w:type="dxa" w:w="2160"/>
          </w:tcPr>
          <w:p>
            <w:r>
              <w:t>Structured parking</w:t>
            </w:r>
          </w:p>
        </w:tc>
        <w:tc>
          <w:tcPr>
            <w:tcW w:type="dxa" w:w="2160"/>
          </w:tcPr>
          <w:p>
            <w:r>
              <w:t>$3/sf (barely viable)</w:t>
            </w:r>
          </w:p>
        </w:tc>
        <w:tc>
          <w:tcPr>
            <w:tcW w:type="dxa" w:w="2160"/>
          </w:tcPr>
          <w:p>
            <w:r>
              <w:t>-$11/sf (infeasible)</w:t>
            </w:r>
          </w:p>
        </w:tc>
        <w:tc>
          <w:tcPr>
            <w:tcW w:type="dxa" w:w="2160"/>
          </w:tcPr>
          <w:p>
            <w:r>
              <w:t>Much worse</w:t>
            </w:r>
          </w:p>
        </w:tc>
      </w:tr>
      <w:tr>
        <w:tc>
          <w:tcPr>
            <w:tcW w:type="dxa" w:w="2160"/>
          </w:tcPr>
          <w:p>
            <w:r>
              <w:t>Podium</w:t>
            </w:r>
          </w:p>
        </w:tc>
        <w:tc>
          <w:tcPr>
            <w:tcW w:type="dxa" w:w="2160"/>
          </w:tcPr>
          <w:p>
            <w:r>
              <w:t>$57/sf</w:t>
            </w:r>
          </w:p>
        </w:tc>
        <w:tc>
          <w:tcPr>
            <w:tcW w:type="dxa" w:w="2160"/>
          </w:tcPr>
          <w:p>
            <w:r>
              <w:t>$36/sf</w:t>
            </w:r>
          </w:p>
        </w:tc>
        <w:tc>
          <w:tcPr>
            <w:tcW w:type="dxa" w:w="2160"/>
          </w:tcPr>
          <w:p>
            <w:r>
              <w:t>~$15/sf or below</w:t>
            </w:r>
          </w:p>
        </w:tc>
      </w:tr>
      <w:tr>
        <w:tc>
          <w:tcPr>
            <w:tcW w:type="dxa" w:w="2160"/>
          </w:tcPr>
          <w:p>
            <w:r>
              <w:t>Surface parking</w:t>
            </w:r>
          </w:p>
        </w:tc>
        <w:tc>
          <w:tcPr>
            <w:tcW w:type="dxa" w:w="2160"/>
          </w:tcPr>
          <w:p>
            <w:r>
              <w:t>$62/sf</w:t>
            </w:r>
          </w:p>
        </w:tc>
        <w:tc>
          <w:tcPr>
            <w:tcW w:type="dxa" w:w="2160"/>
          </w:tcPr>
          <w:p>
            <w:r>
              <w:t>$46/sf</w:t>
            </w:r>
          </w:p>
        </w:tc>
        <w:tc>
          <w:tcPr>
            <w:tcW w:type="dxa" w:w="2160"/>
          </w:tcPr>
          <w:p>
            <w:r>
              <w:t>~$30/sf</w:t>
            </w:r>
          </w:p>
        </w:tc>
      </w:tr>
    </w:tbl>
    <w:p/>
    <w:p>
      <w:r>
        <w:t>Most SSCSP corridor development requires structured or podium parking. The plan's own Section 3.6 acknowledges that "structured and underground parking... can be prohibitively expensive" (p. 3-24). The SSCSP density standards — Corridors Mixed Use at 40 du/acre, Centers Mixed Use at 55 du/acre — produce 4-8 story buildings that cannot pencil with surface parking lots alone.</w:t>
      </w:r>
    </w:p>
    <w:p>
      <w:r>
        <w:t>At 20% inclusionary:</w:t>
      </w:r>
    </w:p>
    <w:p>
      <w:pPr>
        <w:pStyle w:val="ListBullet"/>
      </w:pPr>
      <w:r>
        <w:t>Structured parking projects go negative at 15% — 20% makes them deeply infeasible.</w:t>
      </w:r>
    </w:p>
    <w:p>
      <w:pPr>
        <w:pStyle w:val="ListBullet"/>
      </w:pPr>
      <w:r>
        <w:t>Podium projects lose approximately 60% of residual land value — most sites become uncompetitive with existing uses.</w:t>
      </w:r>
    </w:p>
    <w:p>
      <w:pPr>
        <w:pStyle w:val="ListBullet"/>
      </w:pPr>
      <w:r>
        <w:t>Only surface-parking projects survive — but those cannot achieve the densities the SSCSP envisions for the corridors.</w:t>
      </w:r>
    </w:p>
    <w:p>
      <w:pPr>
        <w:pStyle w:val="Heading2"/>
      </w:pPr>
      <w:r>
        <w:t>The SSCSP Already Reduces Costs to Help Feasibility</w:t>
      </w:r>
    </w:p>
    <w:p>
      <w:r>
        <w:t>The plan establishes parking standards (Table 3-7) significantly below typical municipal requirements: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Land Use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Minimum Parking Standard</w:t>
            </w:r>
          </w:p>
        </w:tc>
      </w:tr>
      <w:tr>
        <w:tc>
          <w:tcPr>
            <w:tcW w:type="dxa" w:w="4320"/>
          </w:tcPr>
          <w:p>
            <w:r>
              <w:t>Market Rate Residential</w:t>
            </w:r>
          </w:p>
        </w:tc>
        <w:tc>
          <w:tcPr>
            <w:tcW w:type="dxa" w:w="4320"/>
          </w:tcPr>
          <w:p>
            <w:r>
              <w:t>1 space per 1,200 sf</w:t>
            </w:r>
          </w:p>
        </w:tc>
      </w:tr>
      <w:tr>
        <w:tc>
          <w:tcPr>
            <w:tcW w:type="dxa" w:w="4320"/>
          </w:tcPr>
          <w:p>
            <w:r>
              <w:t>Market Rate near SPRINTER (½ mi)</w:t>
            </w:r>
          </w:p>
        </w:tc>
        <w:tc>
          <w:tcPr>
            <w:tcW w:type="dxa" w:w="4320"/>
          </w:tcPr>
          <w:p>
            <w:r>
              <w:t>1 space per 1,500 sf</w:t>
            </w:r>
          </w:p>
        </w:tc>
      </w:tr>
      <w:tr>
        <w:tc>
          <w:tcPr>
            <w:tcW w:type="dxa" w:w="4320"/>
          </w:tcPr>
          <w:p>
            <w:r>
              <w:t>Income Restricted Residential</w:t>
            </w:r>
          </w:p>
        </w:tc>
        <w:tc>
          <w:tcPr>
            <w:tcW w:type="dxa" w:w="4320"/>
          </w:tcPr>
          <w:p>
            <w:r>
              <w:t>0.5 spaces per unit</w:t>
            </w:r>
          </w:p>
        </w:tc>
      </w:tr>
      <w:tr>
        <w:tc>
          <w:tcPr>
            <w:tcW w:type="dxa" w:w="4320"/>
          </w:tcPr>
          <w:p>
            <w:r>
              <w:t>Commercial</w:t>
            </w:r>
          </w:p>
        </w:tc>
        <w:tc>
          <w:tcPr>
            <w:tcW w:type="dxa" w:w="4320"/>
          </w:tcPr>
          <w:p>
            <w:r>
              <w:t>1 space per 500 sf</w:t>
            </w:r>
          </w:p>
        </w:tc>
      </w:tr>
    </w:tbl>
    <w:p/>
    <w:p>
      <w:r>
        <w:t>The plan also allows unbundled parking (LU-55), shared parking between adjacent uses (LU-27), and parking in-lieu fees to fund centralized district parking (LU-56). These are implicit acknowledgments that development in these corridors is marginal. Adding a 20% inclusionary mandate works against every cost-reduction strategy the SSCSP implements.</w:t>
      </w:r>
    </w:p>
    <w:p>
      <w:pPr>
        <w:pStyle w:val="Heading2"/>
      </w:pPr>
      <w:r>
        <w:t>Cascading Effects Beyond Housing</w:t>
      </w:r>
    </w:p>
    <w:p>
      <w:r>
        <w:t>The SSCSP's projected 14,500 new jobs and 22,200 new residents depend on corridor redevelopment actually happening. Kill the housing pipeline with a 20% mandate and you also lose:</w:t>
      </w:r>
    </w:p>
    <w:p>
      <w:pPr>
        <w:pStyle w:val="ListBullet"/>
      </w:pPr>
      <w:r>
        <w:t>Commercial floor area that depends on residential foot traffic to support retail and services along the corridors.</w:t>
      </w:r>
    </w:p>
    <w:p>
      <w:pPr>
        <w:pStyle w:val="ListBullet"/>
      </w:pPr>
      <w:r>
        <w:t>Transit ridership that justifies current SPRINTER service levels — Oceanside Boulevard corridor has five SPRINTER stations within the Planning Area.</w:t>
      </w:r>
    </w:p>
    <w:p>
      <w:pPr>
        <w:pStyle w:val="ListBullet"/>
      </w:pPr>
      <w:r>
        <w:t>The fiscal base to fund infrastructure improvements identified in Chapter 8 (Table 8-2), including roadway, water, sewer, and stormwater upgrades.</w:t>
      </w:r>
    </w:p>
    <w:p>
      <w:pPr>
        <w:pStyle w:val="ListBullet"/>
      </w:pPr>
      <w:r>
        <w:t>The 28,500 new jobs the plan envisions, particularly in the industrial areas along Oceanside Boulevard that depend on adjacent residential density for workforce.</w:t>
      </w:r>
    </w:p>
    <w:p>
      <w:pPr>
        <w:pStyle w:val="Heading2"/>
      </w:pPr>
      <w:r>
        <w:t>The D-District Precedent</w:t>
      </w:r>
    </w:p>
    <w:p>
      <w:r>
        <w:t>Oceanside already has a case study in what happens when policy makes development infeasible. The downtown D-District density cap (86 du/acre, certified by the Coastal Commission on February 5, 2026) produced the following result in housing application filings:</w:t>
      </w:r>
    </w:p>
    <w:p>
      <w:r>
        <w:rPr>
          <w:b/>
          <w:color w:val="8B0000"/>
          <w:sz w:val="28"/>
        </w:rPr>
        <w:t>2022: 1,946 units  →  2026: 0 units</w:t>
      </w:r>
    </w:p>
    <w:p>
      <w:r>
        <w:t>The mechanisms are different: the D-District density cap is a hard regulatory limit that makes projects physically impossible above 86 du/acre, while a 20% inclusionary rate is a cost mandate that makes projects financially infeasible. The outcomes differ in degree — the density cap killed 100% of new filings, while a 20% inclusionary rate would kill an estimated 58–70% of projected corridor units. But the direction is the same: policy that raises the cost of building housing beyond what the market can absorb reduces the total number of units built, including affordable units.</w:t>
      </w:r>
    </w:p>
    <w:p>
      <w:pPr>
        <w:pStyle w:val="Heading2"/>
      </w:pPr>
      <w:r>
        <w:t>Recommendation</w:t>
      </w:r>
    </w:p>
    <w:p>
      <w:r>
        <w:t>The effective policy combination for the SSCSP corridors is:</w:t>
      </w:r>
    </w:p>
    <w:p>
      <w:pPr>
        <w:pStyle w:val="ListBullet"/>
      </w:pPr>
      <w:r>
        <w:t>Keep the 10% inclusionary set-aside — it is at the outer edge of feasibility for structured parking projects ($3/sf RLV).</w:t>
      </w:r>
    </w:p>
    <w:p>
      <w:pPr>
        <w:pStyle w:val="ListBullet"/>
      </w:pPr>
      <w:r>
        <w:t>Let the SSCSP's reduced parking standards, streamlined Tier 1 ministerial review, and lot consolidation policies do their work to reduce development costs.</w:t>
      </w:r>
    </w:p>
    <w:p>
      <w:pPr>
        <w:pStyle w:val="ListBullet"/>
      </w:pPr>
      <w:r>
        <w:t>Monitor actual production and adjust — the SSCSP's 3-tier review system allows policy adjustments without full plan amendments.</w:t>
      </w:r>
    </w:p>
    <w:p/>
    <w:p>
      <w:pPr>
        <w:pStyle w:val="Heading2"/>
      </w:pPr>
      <w:r>
        <w:t>Sources</w:t>
      </w:r>
    </w:p>
    <w:p>
      <w:pPr>
        <w:pStyle w:val="ListBullet"/>
      </w:pPr>
      <w:r>
        <w:t>Smart &amp; Sustainable Corridors Specific Plan, Hearing Draft (May 8, 2026) — Chapter 3: Land Use, Chapter 8: Implementation</w:t>
      </w:r>
    </w:p>
    <w:p>
      <w:pPr>
        <w:pStyle w:val="ListBullet"/>
      </w:pPr>
      <w:r>
        <w:t>DRA Inclusionary Housing Study (February 2022) — commissioned by City of Oceanside, presented to City Council June 28, 2022</w:t>
      </w:r>
    </w:p>
    <w:p>
      <w:pPr>
        <w:pStyle w:val="ListBullet"/>
      </w:pPr>
      <w:r>
        <w:t>HCD Annual Progress Report Table A — housing application filings (data.ca.gov)</w:t>
      </w:r>
    </w:p>
    <w:p>
      <w:pPr>
        <w:pStyle w:val="ListBullet"/>
      </w:pPr>
      <w:r>
        <w:t>City of Oceanside eTRAKiT permit portal — current through June 16, 2026</w:t>
      </w:r>
    </w:p>
    <w:p>
      <w:pPr>
        <w:pStyle w:val="ListBullet"/>
      </w:pPr>
      <w:r>
        <w:t>LCPA22-00002 (Downtown density cap ordinance) — adopted October 2023, CCC certified February 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