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A5C"/>
          <w:sz w:val="36"/>
        </w:rPr>
        <w:t>Oceanside's War on Housing</w:t>
      </w:r>
    </w:p>
    <w:p>
      <w:pPr>
        <w:jc w:val="center"/>
      </w:pPr>
      <w:r>
        <w:rPr>
          <w:i/>
          <w:color w:val="666666"/>
          <w:sz w:val="22"/>
        </w:rPr>
        <w:t>Top-Line Summary for Activists | June 2026</w:t>
      </w:r>
    </w:p>
    <w:p/>
    <w:p>
      <w:pPr>
        <w:pStyle w:val="Heading1"/>
      </w:pPr>
      <w:r>
        <w:rPr>
          <w:color w:val="1B3A5C"/>
        </w:rPr>
        <w:t>What's Happening</w:t>
      </w:r>
    </w:p>
    <w:p>
      <w:r>
        <w:t>Oceanside built a legal machine to kill housing across the entire city. Not just downtown. All seven stations. It runs on three tracks:</w:t>
      </w:r>
    </w:p>
    <w:p>
      <w:pPr>
        <w:pStyle w:val="ListBullet"/>
      </w:pPr>
      <w:r>
        <w:rPr>
          <w:b/>
        </w:rPr>
        <w:t xml:space="preserve">Density cap: </w:t>
      </w:r>
      <w:r>
        <w:t>86 du/acre downtown, slashing allowable housing by ~40%.</w:t>
      </w:r>
    </w:p>
    <w:p>
      <w:pPr>
        <w:pStyle w:val="ListBullet"/>
      </w:pPr>
      <w:r>
        <w:rPr>
          <w:b/>
        </w:rPr>
        <w:t xml:space="preserve">Coastal Act shield: </w:t>
      </w:r>
      <w:r>
        <w:t>A Coastal Commission ruling (Feb 2026) that lets the city kill density bonus projects by citing 'viewsheds' and 'community character.' Whatever works.</w:t>
      </w:r>
    </w:p>
    <w:p>
      <w:pPr>
        <w:pStyle w:val="ListBullet"/>
      </w:pPr>
      <w:r>
        <w:rPr>
          <w:b/>
        </w:rPr>
        <w:t xml:space="preserve">SB 79 sabotage: </w:t>
      </w:r>
      <w:r>
        <w:t>A citywide evasion ordinance (June 3, 2026 council hearing, Planning Commission 7-0) designed to gut SB 79 at every transit stop. SANDAG parcel data shows ~18,800 parcels within half a mile of the city's 8 stations. The walking path exemption — the most documented tool — covers only 710 of those (3.8%), concentrated around Crouch Street and Civic Center. OTC, the city's biggest station at 130+ trains/day, has 4,572 parcels in its SB 79 zone and just 2 in the walking path shapefile. The city claims deferments, rent control misclassification, habitat exclusions, and a planned Alternative Plan cover the rest — but no public data confirms this. The gap between what's documented and what's claimed is the story.</w:t>
      </w:r>
    </w:p>
    <w:p>
      <w:pPr>
        <w:pStyle w:val="Heading2"/>
      </w:pPr>
      <w:r>
        <w:rPr>
          <w:color w:val="1B3A5C"/>
        </w:rPr>
        <w:t>This Is Citywide</w:t>
      </w:r>
    </w:p>
    <w:p>
      <w:r>
        <w:t>SB 79 covers all 7 transit stops. The evasion ordinance targets them all:</w:t>
      </w:r>
    </w:p>
    <w:p>
      <w:pPr>
        <w:pStyle w:val="ListBullet"/>
      </w:pPr>
      <w:r>
        <w:rPr>
          <w:b/>
        </w:rPr>
        <w:t xml:space="preserve">OTC: </w:t>
      </w:r>
      <w:r>
        <w:t>~130 trains/day. Tier 1 threshold is 72. The city classified it Tier 2 anyway, dropping required density from 100–120 to 80–100 du/acre. 130 is bigger than 72. This is not a judgment call.</w:t>
      </w:r>
    </w:p>
    <w:p>
      <w:pPr>
        <w:pStyle w:val="ListBullet"/>
      </w:pPr>
      <w:r>
        <w:rPr>
          <w:b/>
        </w:rPr>
        <w:t xml:space="preserve">Sprinter stops: </w:t>
      </w:r>
      <w:r>
        <w:t>Coast Highway, Crouch Street, El Camino Real, Rancho Del Oro, and the rest (68 trains/day, Tier 2 threshold 48). The city fabricated walking path definitions, invented habitat exclusions that don't exist in state law, and reclassified Good Cause eviction as 'rent control' to carve out parcels around every station.</w:t>
      </w:r>
    </w:p>
    <w:p>
      <w:r>
        <w:t>Combined SB 79 zones around all 7 stops could hold 13,000–32,000 units. That's enough to satisfy Oceanside's remaining RHNA 2–10 times over. The evasion ordinance exists to zero that out.</w:t>
      </w:r>
    </w:p>
    <w:p>
      <w:pPr>
        <w:pStyle w:val="Heading2"/>
      </w:pPr>
      <w:r>
        <w:rPr>
          <w:color w:val="1B3A5C"/>
        </w:rPr>
        <w:t>Downtown Is Already Dead</w:t>
      </w:r>
    </w:p>
    <w:p>
      <w:r>
        <w:t>Since the Coastal Commission certified the density cap in February 2026, zero new housing projects have been approved downtown. Zero. The Rodeway Inn, 290 units, biggest project in the pipeline, is being pulled. 801 Mission (230 units) sat frozen for months before scraping through in late May.</w:t>
      </w:r>
    </w:p>
    <w:p>
      <w:pPr>
        <w:pStyle w:val="Heading1"/>
      </w:pPr>
      <w:r>
        <w:rPr>
          <w:color w:val="1B3A5C"/>
        </w:rPr>
        <w:t>The Stakes</w:t>
      </w:r>
    </w:p>
    <w:p>
      <w:pPr>
        <w:pStyle w:val="Heading2"/>
      </w:pPr>
      <w:r>
        <w:rPr>
          <w:color w:val="1B3A5C"/>
        </w:rPr>
        <w:t>Hard costs: what the city will actually spend</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Category</w:t>
            </w:r>
          </w:p>
        </w:tc>
        <w:tc>
          <w:tcPr>
            <w:tcW w:type="dxa" w:w="2880"/>
          </w:tcPr>
          <w:p>
            <w:r>
              <w:rPr>
                <w:b/>
                <w:sz w:val="20"/>
              </w:rPr>
              <w:t>Estimate</w:t>
            </w:r>
          </w:p>
        </w:tc>
        <w:tc>
          <w:tcPr>
            <w:tcW w:type="dxa" w:w="2880"/>
          </w:tcPr>
          <w:p>
            <w:r>
              <w:rPr>
                <w:b/>
                <w:sz w:val="20"/>
              </w:rPr>
              <w:t>Basis</w:t>
            </w:r>
          </w:p>
        </w:tc>
      </w:tr>
      <w:tr>
        <w:tc>
          <w:tcPr>
            <w:tcW w:type="dxa" w:w="2880"/>
          </w:tcPr>
          <w:p>
            <w:r>
              <w:rPr>
                <w:sz w:val="20"/>
              </w:rPr>
              <w:t>Outside counsel + litigation defense</w:t>
            </w:r>
          </w:p>
        </w:tc>
        <w:tc>
          <w:tcPr>
            <w:tcW w:type="dxa" w:w="2880"/>
          </w:tcPr>
          <w:p>
            <w:r>
              <w:rPr>
                <w:sz w:val="20"/>
              </w:rPr>
              <w:t>$2M–$5M</w:t>
            </w:r>
          </w:p>
        </w:tc>
        <w:tc>
          <w:tcPr>
            <w:tcW w:type="dxa" w:w="2880"/>
          </w:tcPr>
          <w:p>
            <w:r>
              <w:rPr>
                <w:sz w:val="20"/>
              </w:rPr>
              <w:t>SB 79 suit, HAA claims, density bonus cases. Based on Huntington Beach, La Cañada Flintridge comparables</w:t>
            </w:r>
          </w:p>
        </w:tc>
      </w:tr>
      <w:tr>
        <w:tc>
          <w:tcPr>
            <w:tcW w:type="dxa" w:w="2880"/>
          </w:tcPr>
          <w:p>
            <w:r>
              <w:rPr>
                <w:sz w:val="20"/>
              </w:rPr>
              <w:t>Court-ordered attorney's fees (mandatory on loss)</w:t>
            </w:r>
          </w:p>
        </w:tc>
        <w:tc>
          <w:tcPr>
            <w:tcW w:type="dxa" w:w="2880"/>
          </w:tcPr>
          <w:p>
            <w:r>
              <w:rPr>
                <w:sz w:val="20"/>
              </w:rPr>
              <w:t>$500K–$1.5M</w:t>
            </w:r>
          </w:p>
        </w:tc>
        <w:tc>
          <w:tcPr>
            <w:tcW w:type="dxa" w:w="2880"/>
          </w:tcPr>
          <w:p>
            <w:r>
              <w:rPr>
                <w:sz w:val="20"/>
              </w:rPr>
              <w:t>Losing city pays plaintiff's lawyers. CalHDF collected $1.26M from La Cañada Flintridge alone</w:t>
            </w:r>
          </w:p>
        </w:tc>
      </w:tr>
      <w:tr>
        <w:tc>
          <w:tcPr>
            <w:tcW w:type="dxa" w:w="2880"/>
          </w:tcPr>
          <w:p>
            <w:r>
              <w:rPr>
                <w:sz w:val="20"/>
              </w:rPr>
              <w:t>AG fines ($10K–$50K/month)</w:t>
            </w:r>
          </w:p>
        </w:tc>
        <w:tc>
          <w:tcPr>
            <w:tcW w:type="dxa" w:w="2880"/>
          </w:tcPr>
          <w:p>
            <w:r>
              <w:rPr>
                <w:sz w:val="20"/>
              </w:rPr>
              <w:t>$240K–$1.8M</w:t>
            </w:r>
          </w:p>
        </w:tc>
        <w:tc>
          <w:tcPr>
            <w:tcW w:type="dxa" w:w="2880"/>
          </w:tcPr>
          <w:p>
            <w:r>
              <w:rPr>
                <w:sz w:val="20"/>
              </w:rPr>
              <w:t>Accumulates monthly once AG acts. Huntington Beach at $50K/month as of May 2026</w:t>
            </w:r>
          </w:p>
        </w:tc>
      </w:tr>
      <w:tr>
        <w:tc>
          <w:tcPr>
            <w:tcW w:type="dxa" w:w="2880"/>
          </w:tcPr>
          <w:p>
            <w:r>
              <w:rPr>
                <w:sz w:val="20"/>
              </w:rPr>
              <w:t>HAA penalties on denied projects</w:t>
            </w:r>
          </w:p>
        </w:tc>
        <w:tc>
          <w:tcPr>
            <w:tcW w:type="dxa" w:w="2880"/>
          </w:tcPr>
          <w:p>
            <w:r>
              <w:rPr>
                <w:sz w:val="20"/>
              </w:rPr>
              <w:t>$830K–$4.15M</w:t>
            </w:r>
          </w:p>
        </w:tc>
        <w:tc>
          <w:tcPr>
            <w:tcW w:type="dxa" w:w="2880"/>
          </w:tcPr>
          <w:p>
            <w:r>
              <w:rPr>
                <w:sz w:val="20"/>
              </w:rPr>
              <w:t>83-unit denial: $10K/unit minimum. 5x bad-faith multiplier possible</w:t>
            </w:r>
          </w:p>
        </w:tc>
      </w:tr>
      <w:tr>
        <w:tc>
          <w:tcPr>
            <w:tcW w:type="dxa" w:w="2880"/>
          </w:tcPr>
          <w:p>
            <w:r>
              <w:rPr>
                <w:sz w:val="20"/>
              </w:rPr>
              <w:t>Total hard costs</w:t>
            </w:r>
          </w:p>
        </w:tc>
        <w:tc>
          <w:tcPr>
            <w:tcW w:type="dxa" w:w="2880"/>
          </w:tcPr>
          <w:p>
            <w:r>
              <w:rPr>
                <w:sz w:val="20"/>
              </w:rPr>
              <w:t>$4M–$16M</w:t>
            </w:r>
          </w:p>
        </w:tc>
        <w:tc>
          <w:tcPr>
            <w:tcW w:type="dxa" w:w="2880"/>
          </w:tcPr>
          <w:p>
            <w:r>
              <w:rPr>
                <w:sz w:val="20"/>
              </w:rPr>
              <w:t>Checks from the General Fund. Same pot that pays for police, fire, parks, libraries</w:t>
            </w:r>
          </w:p>
        </w:tc>
      </w:tr>
    </w:tbl>
    <w:p>
      <w:pPr>
        <w:pStyle w:val="Heading2"/>
      </w:pPr>
      <w:r>
        <w:rPr>
          <w:color w:val="1B3A5C"/>
        </w:rPr>
        <w:t>Opportunity costs: revenue that never arrives</w:t>
      </w:r>
    </w:p>
    <w:p>
      <w:r>
        <w:t>These are not bills in the mail. They're fees and taxes the city would collect if housing gets built. They won't collect them if the pipeline stays frozen. We include them because they're real consequences, but we label them for what they are: projections based on what comparable projects generated elsewhere. Not guaranteed losses.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Category</w:t>
            </w:r>
          </w:p>
        </w:tc>
        <w:tc>
          <w:tcPr>
            <w:tcW w:type="dxa" w:w="2880"/>
          </w:tcPr>
          <w:p>
            <w:r>
              <w:rPr>
                <w:b/>
                <w:sz w:val="20"/>
              </w:rPr>
              <w:t>Estimate</w:t>
            </w:r>
          </w:p>
        </w:tc>
        <w:tc>
          <w:tcPr>
            <w:tcW w:type="dxa" w:w="2880"/>
          </w:tcPr>
          <w:p>
            <w:r>
              <w:rPr>
                <w:b/>
                <w:sz w:val="20"/>
              </w:rPr>
              <w:t>Basis</w:t>
            </w:r>
          </w:p>
        </w:tc>
      </w:tr>
      <w:tr>
        <w:tc>
          <w:tcPr>
            <w:tcW w:type="dxa" w:w="2880"/>
          </w:tcPr>
          <w:p>
            <w:r>
              <w:rPr>
                <w:sz w:val="20"/>
              </w:rPr>
              <w:t>Building permit fees below trend</w:t>
            </w:r>
          </w:p>
        </w:tc>
        <w:tc>
          <w:tcPr>
            <w:tcW w:type="dxa" w:w="2880"/>
          </w:tcPr>
          <w:p>
            <w:r>
              <w:rPr>
                <w:sz w:val="20"/>
              </w:rPr>
              <w:t>$6M–$12M</w:t>
            </w:r>
          </w:p>
        </w:tc>
        <w:tc>
          <w:tcPr>
            <w:tcW w:type="dxa" w:w="2880"/>
          </w:tcPr>
          <w:p>
            <w:r>
              <w:rPr>
                <w:sz w:val="20"/>
              </w:rPr>
              <w:t>3–5 years of declining fee revenue as pipeline dries up</w:t>
            </w:r>
          </w:p>
        </w:tc>
      </w:tr>
      <w:tr>
        <w:tc>
          <w:tcPr>
            <w:tcW w:type="dxa" w:w="2880"/>
          </w:tcPr>
          <w:p>
            <w:r>
              <w:rPr>
                <w:sz w:val="20"/>
              </w:rPr>
              <w:t>Developer impact fees not collected</w:t>
            </w:r>
          </w:p>
        </w:tc>
        <w:tc>
          <w:tcPr>
            <w:tcW w:type="dxa" w:w="2880"/>
          </w:tcPr>
          <w:p>
            <w:r>
              <w:rPr>
                <w:sz w:val="20"/>
              </w:rPr>
              <w:t>$10M–$40M</w:t>
            </w:r>
          </w:p>
        </w:tc>
        <w:tc>
          <w:tcPr>
            <w:tcW w:type="dxa" w:w="2880"/>
          </w:tcPr>
          <w:p>
            <w:r>
              <w:rPr>
                <w:sz w:val="20"/>
              </w:rPr>
              <w:t>500–1,000 chilled units that won't pay $20K–$40K/unit in fees</w:t>
            </w:r>
          </w:p>
        </w:tc>
      </w:tr>
      <w:tr>
        <w:tc>
          <w:tcPr>
            <w:tcW w:type="dxa" w:w="2880"/>
          </w:tcPr>
          <w:p>
            <w:r>
              <w:rPr>
                <w:sz w:val="20"/>
              </w:rPr>
              <w:t>Property tax revenue delayed</w:t>
            </w:r>
          </w:p>
        </w:tc>
        <w:tc>
          <w:tcPr>
            <w:tcW w:type="dxa" w:w="2880"/>
          </w:tcPr>
          <w:p>
            <w:r>
              <w:rPr>
                <w:sz w:val="20"/>
              </w:rPr>
              <w:t>$17M–$32M</w:t>
            </w:r>
          </w:p>
        </w:tc>
        <w:tc>
          <w:tcPr>
            <w:tcW w:type="dxa" w:w="2880"/>
          </w:tcPr>
          <w:p>
            <w:r>
              <w:rPr>
                <w:sz w:val="20"/>
              </w:rPr>
              <w:t>700+ units that would generate $8K–$15K/yr in property tax, delayed 3+ years</w:t>
            </w:r>
          </w:p>
        </w:tc>
      </w:tr>
      <w:tr>
        <w:tc>
          <w:tcPr>
            <w:tcW w:type="dxa" w:w="2880"/>
          </w:tcPr>
          <w:p>
            <w:r>
              <w:rPr>
                <w:sz w:val="20"/>
              </w:rPr>
              <w:t>Total opportunity cost</w:t>
            </w:r>
          </w:p>
        </w:tc>
        <w:tc>
          <w:tcPr>
            <w:tcW w:type="dxa" w:w="2880"/>
          </w:tcPr>
          <w:p>
            <w:r>
              <w:rPr>
                <w:sz w:val="20"/>
              </w:rPr>
              <w:t>$28M–$70M</w:t>
            </w:r>
          </w:p>
        </w:tc>
        <w:tc>
          <w:tcPr>
            <w:tcW w:type="dxa" w:w="2880"/>
          </w:tcPr>
          <w:p>
            <w:r>
              <w:rPr>
                <w:sz w:val="20"/>
              </w:rPr>
              <w:t>Revenue the city misses out on. Real but speculative, depends on what would have been built</w:t>
            </w:r>
          </w:p>
        </w:tc>
      </w:tr>
    </w:tbl>
    <w:p>
      <w:r>
        <w:t>Combined: $32M–$86M. But the number you can hold the council to is $4M–$16M. That's taxpayer cash going to lawyers instead of services.</w:t>
      </w:r>
    </w:p>
    <w:p>
      <w:pPr>
        <w:pStyle w:val="Heading1"/>
      </w:pPr>
      <w:r>
        <w:rPr>
          <w:color w:val="1B3A5C"/>
        </w:rPr>
        <w:t>The Endgame</w:t>
      </w:r>
    </w:p>
    <w:p>
      <w:r>
        <w:t>SB 79 takes effect July 1, 2026. By-right housing at 100–120 du/acre within half a mile of major transit. 80–100 near lighter rail. All 7 Oceanside stations qualify. The OTC alone runs ~130 trains a day against a Tier 1 threshold of 72. 'By-right' means the city doesn't get a vote. No coastal impact analysis. No viewshed denial. No council hearing. Meet the objective standards, get the permit.</w:t>
      </w:r>
    </w:p>
    <w:p>
      <w:r>
        <w:t>The city is betting it can stall SB 79 citywide long enough to scare developers off permanently. CalHDF, YIMBY Law, and Californians for Homeownership, backed by a six-org coalition, are getting ready to sue.</w:t>
      </w:r>
    </w:p>
    <w:p>
      <w:r>
        <w:t>Most likely outcome: the city fights 2–3 years, spends tens of millions, and loses. No California city has ever won this fight. Not one.</w:t>
      </w:r>
    </w:p>
    <w:p>
      <w:pPr>
        <w:ind w:left="567" w:right="567"/>
      </w:pPr>
      <w:r>
        <w:rPr>
          <w:i/>
          <w:color w:val="8B0000"/>
        </w:rPr>
        <w:t>Bottom line: $4M–$16M in real legal costs from the General Fund. $28M–$70M more in lost fees and taxes on top. Every city that's tried this has lost. Only question is how much burns first.</w:t>
      </w:r>
    </w:p>
    <w:p/>
    <w:p>
      <w:r>
        <w:rPr>
          <w:i/>
        </w:rPr>
        <w:t>See companion documents for full legal strategy details and cost breakdown.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