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5C"/>
          <w:sz w:val="36"/>
        </w:rPr>
        <w:t>What This Will Cost Oceanside</w:t>
      </w:r>
    </w:p>
    <w:p>
      <w:pPr>
        <w:jc w:val="center"/>
      </w:pPr>
      <w:r>
        <w:rPr>
          <w:i/>
          <w:color w:val="666666"/>
          <w:sz w:val="22"/>
        </w:rPr>
        <w:t>Financial and Human Consequences | June 2026</w:t>
      </w:r>
    </w:p>
    <w:p>
      <w:pPr>
        <w:pStyle w:val="Heading1"/>
      </w:pPr>
      <w:r>
        <w:rPr>
          <w:color w:val="1B3A5C"/>
        </w:rPr>
        <w:t>About Honesty</w:t>
      </w:r>
    </w:p>
    <w:p>
      <w:r>
        <w:t>This document separates hard costs from opportunity costs. Hard costs are checks the city writes. Legal fees. Court-ordered penalties. Attorney's fees awards. Opportunity costs are revenue the city misses because projects never get built. Both are real. They're different kinds of real. Mixing them into one headline number is the same dishonesty we're calling the city out for, and we're not doing it.</w:t>
      </w:r>
    </w:p>
    <w:p>
      <w:pPr>
        <w:pStyle w:val="Heading1"/>
      </w:pPr>
      <w:r>
        <w:rPr>
          <w:color w:val="1B3A5C"/>
        </w:rPr>
        <w:t>Hard Costs: What the City Will Actually Spend</w:t>
      </w:r>
    </w:p>
    <w:p>
      <w:r>
        <w:t>These come straight from the General Fund. Same pot that pays for police, fire, parks, libraries. Every dollar here is a dollar not spent on services.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Front</w:t>
            </w:r>
          </w:p>
        </w:tc>
        <w:tc>
          <w:tcPr>
            <w:tcW w:type="dxa" w:w="2160"/>
          </w:tcPr>
          <w:p>
            <w:r>
              <w:rPr>
                <w:b/>
                <w:sz w:val="20"/>
              </w:rPr>
              <w:t>Low Estimate</w:t>
            </w:r>
          </w:p>
        </w:tc>
        <w:tc>
          <w:tcPr>
            <w:tcW w:type="dxa" w:w="2160"/>
          </w:tcPr>
          <w:p>
            <w:r>
              <w:rPr>
                <w:b/>
                <w:sz w:val="20"/>
              </w:rPr>
              <w:t>High Estimate</w:t>
            </w:r>
          </w:p>
        </w:tc>
        <w:tc>
          <w:tcPr>
            <w:tcW w:type="dxa" w:w="2160"/>
          </w:tcPr>
          <w:p>
            <w:r>
              <w:rPr>
                <w:b/>
                <w:sz w:val="20"/>
              </w:rPr>
              <w:t>Source / Basis</w:t>
            </w:r>
          </w:p>
        </w:tc>
      </w:tr>
      <w:tr>
        <w:tc>
          <w:tcPr>
            <w:tcW w:type="dxa" w:w="2160"/>
          </w:tcPr>
          <w:p>
            <w:r>
              <w:rPr>
                <w:sz w:val="20"/>
              </w:rPr>
              <w:t>SB 79 litigation defense (outside counsel)</w:t>
            </w:r>
          </w:p>
        </w:tc>
        <w:tc>
          <w:tcPr>
            <w:tcW w:type="dxa" w:w="2160"/>
          </w:tcPr>
          <w:p>
            <w:r>
              <w:rPr>
                <w:sz w:val="20"/>
              </w:rPr>
              <w:t>$800K</w:t>
            </w:r>
          </w:p>
        </w:tc>
        <w:tc>
          <w:tcPr>
            <w:tcW w:type="dxa" w:w="2160"/>
          </w:tcPr>
          <w:p>
            <w:r>
              <w:rPr>
                <w:sz w:val="20"/>
              </w:rPr>
              <w:t>$2M</w:t>
            </w:r>
          </w:p>
        </w:tc>
        <w:tc>
          <w:tcPr>
            <w:tcW w:type="dxa" w:w="2160"/>
          </w:tcPr>
          <w:p>
            <w:r>
              <w:rPr>
                <w:sz w:val="20"/>
              </w:rPr>
              <w:t>La Cañada Flintridge spent ~$2M on simpler case</w:t>
            </w:r>
          </w:p>
        </w:tc>
      </w:tr>
      <w:tr>
        <w:tc>
          <w:tcPr>
            <w:tcW w:type="dxa" w:w="2160"/>
          </w:tcPr>
          <w:p>
            <w:r>
              <w:rPr>
                <w:sz w:val="20"/>
              </w:rPr>
              <w:t>Plaintiff attorney's fees (mandatory, losing city pays)</w:t>
            </w:r>
          </w:p>
        </w:tc>
        <w:tc>
          <w:tcPr>
            <w:tcW w:type="dxa" w:w="2160"/>
          </w:tcPr>
          <w:p>
            <w:r>
              <w:rPr>
                <w:sz w:val="20"/>
              </w:rPr>
              <w:t>$500K</w:t>
            </w:r>
          </w:p>
        </w:tc>
        <w:tc>
          <w:tcPr>
            <w:tcW w:type="dxa" w:w="2160"/>
          </w:tcPr>
          <w:p>
            <w:r>
              <w:rPr>
                <w:sz w:val="20"/>
              </w:rPr>
              <w:t>$1.5M</w:t>
            </w:r>
          </w:p>
        </w:tc>
        <w:tc>
          <w:tcPr>
            <w:tcW w:type="dxa" w:w="2160"/>
          </w:tcPr>
          <w:p>
            <w:r>
              <w:rPr>
                <w:sz w:val="20"/>
              </w:rPr>
              <w:t>CalHDF collected $1.26M from La Cañada Flintridge</w:t>
            </w:r>
          </w:p>
        </w:tc>
      </w:tr>
      <w:tr>
        <w:tc>
          <w:tcPr>
            <w:tcW w:type="dxa" w:w="2160"/>
          </w:tcPr>
          <w:p>
            <w:r>
              <w:rPr>
                <w:sz w:val="20"/>
              </w:rPr>
              <w:t>AG fines ($10K–$50K/month)</w:t>
            </w:r>
          </w:p>
        </w:tc>
        <w:tc>
          <w:tcPr>
            <w:tcW w:type="dxa" w:w="2160"/>
          </w:tcPr>
          <w:p>
            <w:r>
              <w:rPr>
                <w:sz w:val="20"/>
              </w:rPr>
              <w:t>$240K</w:t>
            </w:r>
          </w:p>
        </w:tc>
        <w:tc>
          <w:tcPr>
            <w:tcW w:type="dxa" w:w="2160"/>
          </w:tcPr>
          <w:p>
            <w:r>
              <w:rPr>
                <w:sz w:val="20"/>
              </w:rPr>
              <w:t>$1.8M</w:t>
            </w:r>
          </w:p>
        </w:tc>
        <w:tc>
          <w:tcPr>
            <w:tcW w:type="dxa" w:w="2160"/>
          </w:tcPr>
          <w:p>
            <w:r>
              <w:rPr>
                <w:sz w:val="20"/>
              </w:rPr>
              <w:t>Huntington Beach now paying $50K/month; accumulates for 12–36 months</w:t>
            </w:r>
          </w:p>
        </w:tc>
      </w:tr>
      <w:tr>
        <w:tc>
          <w:tcPr>
            <w:tcW w:type="dxa" w:w="2160"/>
          </w:tcPr>
          <w:p>
            <w:r>
              <w:rPr>
                <w:sz w:val="20"/>
              </w:rPr>
              <w:t>83-unit EIR denial, HAA penalties ($10K/unit)</w:t>
            </w:r>
          </w:p>
        </w:tc>
        <w:tc>
          <w:tcPr>
            <w:tcW w:type="dxa" w:w="2160"/>
          </w:tcPr>
          <w:p>
            <w:r>
              <w:rPr>
                <w:sz w:val="20"/>
              </w:rPr>
              <w:t>$830K</w:t>
            </w:r>
          </w:p>
        </w:tc>
        <w:tc>
          <w:tcPr>
            <w:tcW w:type="dxa" w:w="2160"/>
          </w:tcPr>
          <w:p>
            <w:r>
              <w:rPr>
                <w:sz w:val="20"/>
              </w:rPr>
              <w:t>$4.15M</w:t>
            </w:r>
          </w:p>
        </w:tc>
        <w:tc>
          <w:tcPr>
            <w:tcW w:type="dxa" w:w="2160"/>
          </w:tcPr>
          <w:p>
            <w:r>
              <w:rPr>
                <w:sz w:val="20"/>
              </w:rPr>
              <w:t>Statutory minimum; 5x bad-faith multiplier if pattern established</w:t>
            </w:r>
          </w:p>
        </w:tc>
      </w:tr>
      <w:tr>
        <w:tc>
          <w:tcPr>
            <w:tcW w:type="dxa" w:w="2160"/>
          </w:tcPr>
          <w:p>
            <w:r>
              <w:rPr>
                <w:sz w:val="20"/>
              </w:rPr>
              <w:t>Ongoing outside counsel / closed session advisory</w:t>
            </w:r>
          </w:p>
        </w:tc>
        <w:tc>
          <w:tcPr>
            <w:tcW w:type="dxa" w:w="2160"/>
          </w:tcPr>
          <w:p>
            <w:r>
              <w:rPr>
                <w:sz w:val="20"/>
              </w:rPr>
              <w:t>$200K/yr</w:t>
            </w:r>
          </w:p>
        </w:tc>
        <w:tc>
          <w:tcPr>
            <w:tcW w:type="dxa" w:w="2160"/>
          </w:tcPr>
          <w:p>
            <w:r>
              <w:rPr>
                <w:sz w:val="20"/>
              </w:rPr>
              <w:t>$500K/yr</w:t>
            </w:r>
          </w:p>
        </w:tc>
        <w:tc>
          <w:tcPr>
            <w:tcW w:type="dxa" w:w="2160"/>
          </w:tcPr>
          <w:p>
            <w:r>
              <w:rPr>
                <w:sz w:val="20"/>
              </w:rPr>
              <w:t>Standard rate for municipal housing litigation; city is already incurring this</w:t>
            </w:r>
          </w:p>
        </w:tc>
      </w:tr>
      <w:tr>
        <w:tc>
          <w:tcPr>
            <w:tcW w:type="dxa" w:w="2160"/>
          </w:tcPr>
          <w:p>
            <w:r>
              <w:rPr>
                <w:sz w:val="20"/>
              </w:rPr>
              <w:t>Total hard costs</w:t>
            </w:r>
          </w:p>
        </w:tc>
        <w:tc>
          <w:tcPr>
            <w:tcW w:type="dxa" w:w="2160"/>
          </w:tcPr>
          <w:p>
            <w:r>
              <w:rPr>
                <w:sz w:val="20"/>
              </w:rPr>
              <w:t>$4M</w:t>
            </w:r>
          </w:p>
        </w:tc>
        <w:tc>
          <w:tcPr>
            <w:tcW w:type="dxa" w:w="2160"/>
          </w:tcPr>
          <w:p>
            <w:r>
              <w:rPr>
                <w:sz w:val="20"/>
              </w:rPr>
              <w:t>$16M</w:t>
            </w:r>
          </w:p>
        </w:tc>
        <w:tc>
          <w:tcPr>
            <w:tcW w:type="dxa" w:w="2160"/>
          </w:tcPr>
          <w:p>
            <w:r>
              <w:rPr>
                <w:sz w:val="20"/>
              </w:rPr>
              <w:t>Checks written from the General Fund</w:t>
            </w:r>
          </w:p>
        </w:tc>
      </w:tr>
    </w:tbl>
    <w:p>
      <w:r>
        <w:t>Low-end estimates are conservative. High-end includes bad-faith multipliers. The density bonus waiver denial exposure ($7M–$86M per the full legal forecast) isn't in this table because no waivers have been denied yet. That exposure exists but hasn't triggered. If it does, this table gets much worse.</w:t>
      </w:r>
    </w:p>
    <w:p>
      <w:pPr>
        <w:pStyle w:val="Heading2"/>
      </w:pPr>
      <w:r>
        <w:rPr>
          <w:color w:val="1B3A5C"/>
        </w:rPr>
        <w:t>What Gets Cut</w:t>
      </w:r>
    </w:p>
    <w:p>
      <w:r>
        <w:t>Oceanside runs a slim General Fund surplus. About $9.9M a year. CalPERS pension obligations are eating into it at ~$2.5M/year and climbing. $4M in legal costs wipes out nearly half that surplus. At $16M, the city borrows against future budgets.</w:t>
      </w:r>
    </w:p>
    <w:p>
      <w:r>
        <w:t>What goes first: parks, arts, libraries, community programs, infrastructure maintenance. Discretionary spending always dies first.</w:t>
      </w:r>
    </w:p>
    <w:p>
      <w:pPr>
        <w:pStyle w:val="Heading1"/>
      </w:pPr>
      <w:r>
        <w:rPr>
          <w:color w:val="1B3A5C"/>
        </w:rPr>
        <w:t>Opportunity Costs: Revenue That Never Arrives</w:t>
      </w:r>
    </w:p>
    <w:p>
      <w:r>
        <w:t>These are not bills in the mail. They're fees and taxes the city would collect if housing gets built. They won't collect them if the pipeline stays frozen. We include them because they're real consequences, but we label them for what they are: projections based on what comparable projects generated elsewhere. Not guaranteed losses.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Category</w:t>
            </w:r>
          </w:p>
        </w:tc>
        <w:tc>
          <w:tcPr>
            <w:tcW w:type="dxa" w:w="2160"/>
          </w:tcPr>
          <w:p>
            <w:r>
              <w:rPr>
                <w:b/>
                <w:sz w:val="20"/>
              </w:rPr>
              <w:t>Low</w:t>
            </w:r>
          </w:p>
        </w:tc>
        <w:tc>
          <w:tcPr>
            <w:tcW w:type="dxa" w:w="2160"/>
          </w:tcPr>
          <w:p>
            <w:r>
              <w:rPr>
                <w:b/>
                <w:sz w:val="20"/>
              </w:rPr>
              <w:t>High</w:t>
            </w:r>
          </w:p>
        </w:tc>
        <w:tc>
          <w:tcPr>
            <w:tcW w:type="dxa" w:w="2160"/>
          </w:tcPr>
          <w:p>
            <w:r>
              <w:rPr>
                <w:b/>
                <w:sz w:val="20"/>
              </w:rPr>
              <w:t>How estimated</w:t>
            </w:r>
          </w:p>
        </w:tc>
      </w:tr>
      <w:tr>
        <w:tc>
          <w:tcPr>
            <w:tcW w:type="dxa" w:w="2160"/>
          </w:tcPr>
          <w:p>
            <w:r>
              <w:rPr>
                <w:sz w:val="20"/>
              </w:rPr>
              <w:t>Building permit fees below trend</w:t>
            </w:r>
          </w:p>
        </w:tc>
        <w:tc>
          <w:tcPr>
            <w:tcW w:type="dxa" w:w="2160"/>
          </w:tcPr>
          <w:p>
            <w:r>
              <w:rPr>
                <w:sz w:val="20"/>
              </w:rPr>
              <w:t>$6M</w:t>
            </w:r>
          </w:p>
        </w:tc>
        <w:tc>
          <w:tcPr>
            <w:tcW w:type="dxa" w:w="2160"/>
          </w:tcPr>
          <w:p>
            <w:r>
              <w:rPr>
                <w:sz w:val="20"/>
              </w:rPr>
              <w:t>$12M</w:t>
            </w:r>
          </w:p>
        </w:tc>
        <w:tc>
          <w:tcPr>
            <w:tcW w:type="dxa" w:w="2160"/>
          </w:tcPr>
          <w:p>
            <w:r>
              <w:rPr>
                <w:sz w:val="20"/>
              </w:rPr>
              <w:t>3–5 years of declining fee revenue as pipeline dries up</w:t>
            </w:r>
          </w:p>
        </w:tc>
      </w:tr>
      <w:tr>
        <w:tc>
          <w:tcPr>
            <w:tcW w:type="dxa" w:w="2160"/>
          </w:tcPr>
          <w:p>
            <w:r>
              <w:rPr>
                <w:sz w:val="20"/>
              </w:rPr>
              <w:t>Developer impact fees not collected</w:t>
            </w:r>
          </w:p>
        </w:tc>
        <w:tc>
          <w:tcPr>
            <w:tcW w:type="dxa" w:w="2160"/>
          </w:tcPr>
          <w:p>
            <w:r>
              <w:rPr>
                <w:sz w:val="20"/>
              </w:rPr>
              <w:t>$10M</w:t>
            </w:r>
          </w:p>
        </w:tc>
        <w:tc>
          <w:tcPr>
            <w:tcW w:type="dxa" w:w="2160"/>
          </w:tcPr>
          <w:p>
            <w:r>
              <w:rPr>
                <w:sz w:val="20"/>
              </w:rPr>
              <w:t>$40M</w:t>
            </w:r>
          </w:p>
        </w:tc>
        <w:tc>
          <w:tcPr>
            <w:tcW w:type="dxa" w:w="2160"/>
          </w:tcPr>
          <w:p>
            <w:r>
              <w:rPr>
                <w:sz w:val="20"/>
              </w:rPr>
              <w:t>500–1,000 chilled units × $20K–$40K/unit (based on city's own fee schedule)</w:t>
            </w:r>
          </w:p>
        </w:tc>
      </w:tr>
      <w:tr>
        <w:tc>
          <w:tcPr>
            <w:tcW w:type="dxa" w:w="2160"/>
          </w:tcPr>
          <w:p>
            <w:r>
              <w:rPr>
                <w:sz w:val="20"/>
              </w:rPr>
              <w:t>Property tax revenue delayed</w:t>
            </w:r>
          </w:p>
        </w:tc>
        <w:tc>
          <w:tcPr>
            <w:tcW w:type="dxa" w:w="2160"/>
          </w:tcPr>
          <w:p>
            <w:r>
              <w:rPr>
                <w:sz w:val="20"/>
              </w:rPr>
              <w:t>$17M</w:t>
            </w:r>
          </w:p>
        </w:tc>
        <w:tc>
          <w:tcPr>
            <w:tcW w:type="dxa" w:w="2160"/>
          </w:tcPr>
          <w:p>
            <w:r>
              <w:rPr>
                <w:sz w:val="20"/>
              </w:rPr>
              <w:t>$32M</w:t>
            </w:r>
          </w:p>
        </w:tc>
        <w:tc>
          <w:tcPr>
            <w:tcW w:type="dxa" w:w="2160"/>
          </w:tcPr>
          <w:p>
            <w:r>
              <w:rPr>
                <w:sz w:val="20"/>
              </w:rPr>
              <w:t>700+ units × $8K–$15K/yr × 3 years (county assessor rate on comparable projects)</w:t>
            </w:r>
          </w:p>
        </w:tc>
      </w:tr>
      <w:tr>
        <w:tc>
          <w:tcPr>
            <w:tcW w:type="dxa" w:w="2160"/>
          </w:tcPr>
          <w:p>
            <w:r>
              <w:rPr>
                <w:sz w:val="20"/>
              </w:rPr>
              <w:t>Affordable housing in-lieu fees</w:t>
            </w:r>
          </w:p>
        </w:tc>
        <w:tc>
          <w:tcPr>
            <w:tcW w:type="dxa" w:w="2160"/>
          </w:tcPr>
          <w:p>
            <w:r>
              <w:rPr>
                <w:sz w:val="20"/>
              </w:rPr>
              <w:t>$3M</w:t>
            </w:r>
          </w:p>
        </w:tc>
        <w:tc>
          <w:tcPr>
            <w:tcW w:type="dxa" w:w="2160"/>
          </w:tcPr>
          <w:p>
            <w:r>
              <w:rPr>
                <w:sz w:val="20"/>
              </w:rPr>
              <w:t>$8M</w:t>
            </w:r>
          </w:p>
        </w:tc>
        <w:tc>
          <w:tcPr>
            <w:tcW w:type="dxa" w:w="2160"/>
          </w:tcPr>
          <w:p>
            <w:r>
              <w:rPr>
                <w:sz w:val="20"/>
              </w:rPr>
              <w:t>Projects that can't pencil at 86 du/acre without density bonus</w:t>
            </w:r>
          </w:p>
        </w:tc>
      </w:tr>
      <w:tr>
        <w:tc>
          <w:tcPr>
            <w:tcW w:type="dxa" w:w="2160"/>
          </w:tcPr>
          <w:p>
            <w:r>
              <w:rPr>
                <w:sz w:val="20"/>
              </w:rPr>
              <w:t>Total opportunity cost</w:t>
            </w:r>
          </w:p>
        </w:tc>
        <w:tc>
          <w:tcPr>
            <w:tcW w:type="dxa" w:w="2160"/>
          </w:tcPr>
          <w:p>
            <w:r>
              <w:rPr>
                <w:sz w:val="20"/>
              </w:rPr>
              <w:t>$28M</w:t>
            </w:r>
          </w:p>
        </w:tc>
        <w:tc>
          <w:tcPr>
            <w:tcW w:type="dxa" w:w="2160"/>
          </w:tcPr>
          <w:p>
            <w:r>
              <w:rPr>
                <w:sz w:val="20"/>
              </w:rPr>
              <w:t>$70M</w:t>
            </w:r>
          </w:p>
        </w:tc>
        <w:tc>
          <w:tcPr>
            <w:tcW w:type="dxa" w:w="2160"/>
          </w:tcPr>
          <w:p>
            <w:r>
              <w:rPr>
                <w:sz w:val="20"/>
              </w:rPr>
              <w:t>Speculative but grounded in city fee schedules and comparable project data</w:t>
            </w:r>
          </w:p>
        </w:tc>
      </w:tr>
    </w:tbl>
    <w:p>
      <w:pPr>
        <w:pStyle w:val="Heading1"/>
      </w:pPr>
      <w:r>
        <w:rPr>
          <w:color w:val="1B3A5C"/>
        </w:rPr>
        <w:t>Combined Picture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Category</w:t>
            </w:r>
          </w:p>
        </w:tc>
        <w:tc>
          <w:tcPr>
            <w:tcW w:type="dxa" w:w="2160"/>
          </w:tcPr>
          <w:p>
            <w:r>
              <w:rPr>
                <w:b/>
                <w:sz w:val="20"/>
              </w:rPr>
              <w:t>Low</w:t>
            </w:r>
          </w:p>
        </w:tc>
        <w:tc>
          <w:tcPr>
            <w:tcW w:type="dxa" w:w="2160"/>
          </w:tcPr>
          <w:p>
            <w:r>
              <w:rPr>
                <w:b/>
                <w:sz w:val="20"/>
              </w:rPr>
              <w:t>High</w:t>
            </w:r>
          </w:p>
        </w:tc>
        <w:tc>
          <w:tcPr>
            <w:tcW w:type="dxa" w:w="2160"/>
          </w:tcPr>
          <w:p>
            <w:r>
              <w:rPr>
                <w:b/>
                <w:sz w:val="20"/>
              </w:rPr>
              <w:t>Type</w:t>
            </w:r>
          </w:p>
        </w:tc>
      </w:tr>
      <w:tr>
        <w:tc>
          <w:tcPr>
            <w:tcW w:type="dxa" w:w="2160"/>
          </w:tcPr>
          <w:p>
            <w:r>
              <w:rPr>
                <w:sz w:val="20"/>
              </w:rPr>
              <w:t>Hard costs (legal + penalties)</w:t>
            </w:r>
          </w:p>
        </w:tc>
        <w:tc>
          <w:tcPr>
            <w:tcW w:type="dxa" w:w="2160"/>
          </w:tcPr>
          <w:p>
            <w:r>
              <w:rPr>
                <w:sz w:val="20"/>
              </w:rPr>
              <w:t>$4M</w:t>
            </w:r>
          </w:p>
        </w:tc>
        <w:tc>
          <w:tcPr>
            <w:tcW w:type="dxa" w:w="2160"/>
          </w:tcPr>
          <w:p>
            <w:r>
              <w:rPr>
                <w:sz w:val="20"/>
              </w:rPr>
              <w:t>$16M</w:t>
            </w:r>
          </w:p>
        </w:tc>
        <w:tc>
          <w:tcPr>
            <w:tcW w:type="dxa" w:w="2160"/>
          </w:tcPr>
          <w:p>
            <w:r>
              <w:rPr>
                <w:sz w:val="20"/>
              </w:rPr>
              <w:t>Money the city will spend</w:t>
            </w:r>
          </w:p>
        </w:tc>
      </w:tr>
      <w:tr>
        <w:tc>
          <w:tcPr>
            <w:tcW w:type="dxa" w:w="2160"/>
          </w:tcPr>
          <w:p>
            <w:r>
              <w:rPr>
                <w:sz w:val="20"/>
              </w:rPr>
              <w:t>Opportunity costs (lost revenue)</w:t>
            </w:r>
          </w:p>
        </w:tc>
        <w:tc>
          <w:tcPr>
            <w:tcW w:type="dxa" w:w="2160"/>
          </w:tcPr>
          <w:p>
            <w:r>
              <w:rPr>
                <w:sz w:val="20"/>
              </w:rPr>
              <w:t>$28M</w:t>
            </w:r>
          </w:p>
        </w:tc>
        <w:tc>
          <w:tcPr>
            <w:tcW w:type="dxa" w:w="2160"/>
          </w:tcPr>
          <w:p>
            <w:r>
              <w:rPr>
                <w:sz w:val="20"/>
              </w:rPr>
              <w:t>$70M</w:t>
            </w:r>
          </w:p>
        </w:tc>
        <w:tc>
          <w:tcPr>
            <w:tcW w:type="dxa" w:w="2160"/>
          </w:tcPr>
          <w:p>
            <w:r>
              <w:rPr>
                <w:sz w:val="20"/>
              </w:rPr>
              <w:t>Revenue the city won't collect</w:t>
            </w:r>
          </w:p>
        </w:tc>
      </w:tr>
      <w:tr>
        <w:tc>
          <w:tcPr>
            <w:tcW w:type="dxa" w:w="2160"/>
          </w:tcPr>
          <w:p>
            <w:r>
              <w:rPr>
                <w:sz w:val="20"/>
              </w:rPr>
              <w:t>Combined</w:t>
            </w:r>
          </w:p>
        </w:tc>
        <w:tc>
          <w:tcPr>
            <w:tcW w:type="dxa" w:w="2160"/>
          </w:tcPr>
          <w:p>
            <w:r>
              <w:rPr>
                <w:sz w:val="20"/>
              </w:rPr>
              <w:t>$32M</w:t>
            </w:r>
          </w:p>
        </w:tc>
        <w:tc>
          <w:tcPr>
            <w:tcW w:type="dxa" w:w="2160"/>
          </w:tcPr>
          <w:p>
            <w:r>
              <w:rPr>
                <w:sz w:val="20"/>
              </w:rPr>
              <w:t>$86M</w:t>
            </w:r>
          </w:p>
        </w:tc>
        <w:tc>
          <w:tcPr>
            <w:tcW w:type="dxa" w:w="2160"/>
          </w:tcPr>
          <w:p>
            <w:r>
              <w:rPr>
                <w:sz w:val="20"/>
              </w:rPr>
              <w:t>Hard + opportunity</w:t>
            </w:r>
          </w:p>
        </w:tc>
      </w:tr>
    </w:tbl>
    <w:p>
      <w:r>
        <w:t>Talk to the council or press? Lead with hard costs. $4M–$16M is unambiguous taxpayer money going to lawyers. Mention the $28M–$70M in opportunity costs separately. Label them as projections. More credible than one inflated headline number. Harder to dismiss, too.</w:t>
      </w:r>
    </w:p>
    <w:p>
      <w:pPr>
        <w:pStyle w:val="Heading1"/>
      </w:pPr>
      <w:r>
        <w:rPr>
          <w:color w:val="1B3A5C"/>
        </w:rPr>
        <w:t>What Compliance Would Cost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Action</w:t>
            </w:r>
          </w:p>
        </w:tc>
        <w:tc>
          <w:tcPr>
            <w:tcW w:type="dxa" w:w="4320"/>
          </w:tcPr>
          <w:p>
            <w:r>
              <w:rPr>
                <w:b/>
                <w:sz w:val="20"/>
              </w:rPr>
              <w:t>Cost</w:t>
            </w:r>
          </w:p>
        </w:tc>
      </w:tr>
      <w:tr>
        <w:tc>
          <w:tcPr>
            <w:tcW w:type="dxa" w:w="4320"/>
          </w:tcPr>
          <w:p>
            <w:r>
              <w:rPr>
                <w:sz w:val="20"/>
              </w:rPr>
              <w:t>Correct SB 79 tier to Tier 1</w:t>
            </w:r>
          </w:p>
        </w:tc>
        <w:tc>
          <w:tcPr>
            <w:tcW w:type="dxa" w:w="4320"/>
          </w:tcPr>
          <w:p>
            <w:r>
              <w:rPr>
                <w:sz w:val="20"/>
              </w:rPr>
              <w:t>$0 (staff time)</w:t>
            </w:r>
          </w:p>
        </w:tc>
      </w:tr>
      <w:tr>
        <w:tc>
          <w:tcPr>
            <w:tcW w:type="dxa" w:w="4320"/>
          </w:tcPr>
          <w:p>
            <w:r>
              <w:rPr>
                <w:sz w:val="20"/>
              </w:rPr>
              <w:t>Accept density bonus waivers</w:t>
            </w:r>
          </w:p>
        </w:tc>
        <w:tc>
          <w:tcPr>
            <w:tcW w:type="dxa" w:w="4320"/>
          </w:tcPr>
          <w:p>
            <w:r>
              <w:rPr>
                <w:sz w:val="20"/>
              </w:rPr>
              <w:t>$0</w:t>
            </w:r>
          </w:p>
        </w:tc>
      </w:tr>
      <w:tr>
        <w:tc>
          <w:tcPr>
            <w:tcW w:type="dxa" w:w="4320"/>
          </w:tcPr>
          <w:p>
            <w:r>
              <w:rPr>
                <w:sz w:val="20"/>
              </w:rPr>
              <w:t>Drop SB 79 evasion ordinance</w:t>
            </w:r>
          </w:p>
        </w:tc>
        <w:tc>
          <w:tcPr>
            <w:tcW w:type="dxa" w:w="4320"/>
          </w:tcPr>
          <w:p>
            <w:r>
              <w:rPr>
                <w:sz w:val="20"/>
              </w:rPr>
              <w:t>$0</w:t>
            </w:r>
          </w:p>
        </w:tc>
      </w:tr>
      <w:tr>
        <w:tc>
          <w:tcPr>
            <w:tcW w:type="dxa" w:w="4320"/>
          </w:tcPr>
          <w:p>
            <w:r>
              <w:rPr>
                <w:sz w:val="20"/>
              </w:rPr>
              <w:t>Process compliant projects on time</w:t>
            </w:r>
          </w:p>
        </w:tc>
        <w:tc>
          <w:tcPr>
            <w:tcW w:type="dxa" w:w="4320"/>
          </w:tcPr>
          <w:p>
            <w:r>
              <w:rPr>
                <w:sz w:val="20"/>
              </w:rPr>
              <w:t>$0</w:t>
            </w:r>
          </w:p>
        </w:tc>
      </w:tr>
      <w:tr>
        <w:tc>
          <w:tcPr>
            <w:tcW w:type="dxa" w:w="4320"/>
          </w:tcPr>
          <w:p>
            <w:r>
              <w:rPr>
                <w:sz w:val="20"/>
              </w:rPr>
              <w:t>Total cost of compliance</w:t>
            </w:r>
          </w:p>
        </w:tc>
        <w:tc>
          <w:tcPr>
            <w:tcW w:type="dxa" w:w="4320"/>
          </w:tcPr>
          <w:p>
            <w:r>
              <w:rPr>
                <w:sz w:val="20"/>
              </w:rPr>
              <w:t>~$0</w:t>
            </w:r>
          </w:p>
        </w:tc>
      </w:tr>
    </w:tbl>
    <w:p>
      <w:pPr>
        <w:ind w:left="567" w:right="567"/>
      </w:pPr>
      <w:r>
        <w:rPr>
          <w:i/>
          <w:color w:val="8B0000"/>
        </w:rPr>
        <w:t>The hard-cost difference between fighting and complying is $4M–$16M. Including lost revenue, $32M–$86M. The cost of just following the law is zero.</w:t>
      </w:r>
    </w:p>
    <w:p>
      <w:pPr>
        <w:pStyle w:val="Heading1"/>
      </w:pPr>
      <w:r>
        <w:rPr>
          <w:color w:val="1B3A5C"/>
        </w:rPr>
        <w:t>Who Pays for Affordable Housing</w:t>
      </w:r>
    </w:p>
    <w:p>
      <w:r>
        <w:t>The density bonus is what makes affordable units pencil in market-rate projects. Developers include affordable units and get extra height and density in return. Kill the density bonus through the Coastal Act shield and there's no reason to include affordable units beyond the base 15% inclusionary rate. That rate only kicks in at 7+ units anyway.</w:t>
      </w:r>
    </w:p>
    <w:p>
      <w:r>
        <w:t>Oceanside is at 11% of its lower-income RHNA target. Midpoint of the cycle. The city needs ~1,764 more very-low and low-income units by 2029. Without a functioning density bonus, the only way to build affordable housing is direct public subsidy. The city isn't providing that. The $16.5M surplus from FY2023–24 went to river restoration and a park. Not housing.</w:t>
      </w:r>
    </w:p>
    <w:p>
      <w:pPr>
        <w:ind w:left="567" w:right="567"/>
      </w:pPr>
      <w:r>
        <w:rPr>
          <w:i/>
          <w:color w:val="8B0000"/>
        </w:rPr>
        <w:t>The people most hurt by this strategy are low-income renters. They need the affordable units that density bonus projects create. The city says it supports affordable housing while destroying the only mechanism that produces it.</w:t>
      </w:r>
    </w:p>
    <w:p>
      <w:pPr>
        <w:pStyle w:val="Heading1"/>
      </w:pPr>
      <w:r>
        <w:rPr>
          <w:color w:val="1B3A5C"/>
        </w:rPr>
        <w:t>The Capitulation Timeline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Date</w:t>
            </w:r>
          </w:p>
        </w:tc>
        <w:tc>
          <w:tcPr>
            <w:tcW w:type="dxa" w:w="4320"/>
          </w:tcPr>
          <w:p>
            <w:r>
              <w:rPr>
                <w:b/>
                <w:sz w:val="20"/>
              </w:rPr>
              <w:t>Event</w:t>
            </w:r>
          </w:p>
        </w:tc>
      </w:tr>
      <w:tr>
        <w:tc>
          <w:tcPr>
            <w:tcW w:type="dxa" w:w="4320"/>
          </w:tcPr>
          <w:p>
            <w:r>
              <w:rPr>
                <w:sz w:val="20"/>
              </w:rPr>
              <w:t>Summer 2026</w:t>
            </w:r>
          </w:p>
        </w:tc>
        <w:tc>
          <w:tcPr>
            <w:tcW w:type="dxa" w:w="4320"/>
          </w:tcPr>
          <w:p>
            <w:r>
              <w:rPr>
                <w:sz w:val="20"/>
              </w:rPr>
              <w:t>CalHDF files SB 79 suit. AG sends letter.</w:t>
            </w:r>
          </w:p>
        </w:tc>
      </w:tr>
      <w:tr>
        <w:tc>
          <w:tcPr>
            <w:tcW w:type="dxa" w:w="4320"/>
          </w:tcPr>
          <w:p>
            <w:r>
              <w:rPr>
                <w:sz w:val="20"/>
              </w:rPr>
              <w:t>Fall 2026</w:t>
            </w:r>
          </w:p>
        </w:tc>
        <w:tc>
          <w:tcPr>
            <w:tcW w:type="dxa" w:w="4320"/>
          </w:tcPr>
          <w:p>
            <w:r>
              <w:rPr>
                <w:sz w:val="20"/>
              </w:rPr>
              <w:t>Preliminary injunction hearing on Tier classification.</w:t>
            </w:r>
          </w:p>
        </w:tc>
      </w:tr>
      <w:tr>
        <w:tc>
          <w:tcPr>
            <w:tcW w:type="dxa" w:w="4320"/>
          </w:tcPr>
          <w:p>
            <w:r>
              <w:rPr>
                <w:sz w:val="20"/>
              </w:rPr>
              <w:t>Mid-2027</w:t>
            </w:r>
          </w:p>
        </w:tc>
        <w:tc>
          <w:tcPr>
            <w:tcW w:type="dxa" w:w="4320"/>
          </w:tcPr>
          <w:p>
            <w:r>
              <w:rPr>
                <w:sz w:val="20"/>
              </w:rPr>
              <w:t>Trial court ruling. City likely loses (130 &gt; 72).</w:t>
            </w:r>
          </w:p>
        </w:tc>
      </w:tr>
      <w:tr>
        <w:tc>
          <w:tcPr>
            <w:tcW w:type="dxa" w:w="4320"/>
          </w:tcPr>
          <w:p>
            <w:r>
              <w:rPr>
                <w:sz w:val="20"/>
              </w:rPr>
              <w:t>Late 2027</w:t>
            </w:r>
          </w:p>
        </w:tc>
        <w:tc>
          <w:tcPr>
            <w:tcW w:type="dxa" w:w="4320"/>
          </w:tcPr>
          <w:p>
            <w:r>
              <w:rPr>
                <w:sz w:val="20"/>
              </w:rPr>
              <w:t>City appeals. Must post appeal bond ($5M–$14M).</w:t>
            </w:r>
          </w:p>
        </w:tc>
      </w:tr>
      <w:tr>
        <w:tc>
          <w:tcPr>
            <w:tcW w:type="dxa" w:w="4320"/>
          </w:tcPr>
          <w:p>
            <w:r>
              <w:rPr>
                <w:sz w:val="20"/>
              </w:rPr>
              <w:t>Mid-2028</w:t>
            </w:r>
          </w:p>
        </w:tc>
        <w:tc>
          <w:tcPr>
            <w:tcW w:type="dxa" w:w="4320"/>
          </w:tcPr>
          <w:p>
            <w:r>
              <w:rPr>
                <w:sz w:val="20"/>
              </w:rPr>
              <w:t>Most likely capitulation. Legal bills hit $5M+, AG fines 18+ months.</w:t>
            </w:r>
          </w:p>
        </w:tc>
      </w:tr>
      <w:tr>
        <w:tc>
          <w:tcPr>
            <w:tcW w:type="dxa" w:w="4320"/>
          </w:tcPr>
          <w:p>
            <w:r>
              <w:rPr>
                <w:sz w:val="20"/>
              </w:rPr>
              <w:t>2029</w:t>
            </w:r>
          </w:p>
        </w:tc>
        <w:tc>
          <w:tcPr>
            <w:tcW w:type="dxa" w:w="4320"/>
          </w:tcPr>
          <w:p>
            <w:r>
              <w:rPr>
                <w:sz w:val="20"/>
              </w:rPr>
              <w:t>RHNA cycle ends. If still fighting: possible court-appointed monitor.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