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6"/>
        </w:rPr>
        <w:t>How Oceanside Hid 62 Trains</w:t>
      </w:r>
    </w:p>
    <w:p>
      <w:pPr>
        <w:jc w:val="center"/>
      </w:pPr>
      <w:r>
        <w:rPr>
          <w:i/>
          <w:color w:val="666666"/>
          <w:sz w:val="22"/>
        </w:rPr>
        <w:t>The OTC Tier Misclassification | June 2026</w:t>
      </w:r>
    </w:p>
    <w:p>
      <w:pPr>
        <w:pStyle w:val="Heading1"/>
      </w:pPr>
      <w:r>
        <w:rPr>
          <w:color w:val="1B3A5C"/>
        </w:rPr>
        <w:t>The Short Version</w:t>
      </w:r>
    </w:p>
    <w:p>
      <w:r>
        <w:t>Oceanside Transit Center gets at least 130 commuter rail trains every weekday. SB 79's Tier 1 threshold is 72. Oceanside classified OTC as Tier 2.</w:t>
      </w:r>
    </w:p>
    <w:p>
      <w:r>
        <w:t>130 is greater than 72. Staff knew. Their own presentations reveal the method: count only one operator, bury three others, and never show council the aggregate.</w:t>
      </w:r>
    </w:p>
    <w:p>
      <w:pPr>
        <w:pStyle w:val="Heading1"/>
      </w:pPr>
      <w:r>
        <w:rPr>
          <w:color w:val="1B3A5C"/>
        </w:rPr>
        <w:t>The Actual Count</w:t>
      </w:r>
    </w:p>
    <w:p>
      <w:r>
        <w:t>Four operators run commuter rail through OTC. HCD's March 20, 2026 advisory to metropolitan planning organizations is unambiguous: aggregate ALL services across both directions at each station. "This approach reflects the overall level of transit access and frequency experienced by riders at a given stop."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Operator</w:t>
            </w:r>
          </w:p>
        </w:tc>
        <w:tc>
          <w:tcPr>
            <w:tcW w:type="dxa" w:w="2160"/>
          </w:tcPr>
          <w:p>
            <w:r>
              <w:rPr>
                <w:b/>
                <w:sz w:val="20"/>
              </w:rPr>
              <w:t>Service</w:t>
            </w:r>
          </w:p>
        </w:tc>
        <w:tc>
          <w:tcPr>
            <w:tcW w:type="dxa" w:w="2160"/>
          </w:tcPr>
          <w:p>
            <w:r>
              <w:rPr>
                <w:b/>
                <w:sz w:val="20"/>
              </w:rPr>
              <w:t>Weekday Runs</w:t>
            </w:r>
          </w:p>
        </w:tc>
        <w:tc>
          <w:tcPr>
            <w:tcW w:type="dxa" w:w="2160"/>
          </w:tcPr>
          <w:p>
            <w:r>
              <w:rPr>
                <w:b/>
                <w:sz w:val="20"/>
              </w:rPr>
              <w:t>Notes</w:t>
            </w:r>
          </w:p>
        </w:tc>
      </w:tr>
      <w:tr>
        <w:tc>
          <w:tcPr>
            <w:tcW w:type="dxa" w:w="2160"/>
          </w:tcPr>
          <w:p>
            <w:r>
              <w:rPr>
                <w:sz w:val="20"/>
              </w:rPr>
              <w:t>NCTD</w:t>
            </w:r>
          </w:p>
        </w:tc>
        <w:tc>
          <w:tcPr>
            <w:tcW w:type="dxa" w:w="2160"/>
          </w:tcPr>
          <w:p>
            <w:r>
              <w:rPr>
                <w:sz w:val="20"/>
              </w:rPr>
              <w:t>Sprinter</w:t>
            </w:r>
          </w:p>
        </w:tc>
        <w:tc>
          <w:tcPr>
            <w:tcW w:type="dxa" w:w="2160"/>
          </w:tcPr>
          <w:p>
            <w:r>
              <w:rPr>
                <w:sz w:val="20"/>
              </w:rPr>
              <w:t>68</w:t>
            </w:r>
          </w:p>
        </w:tc>
        <w:tc>
          <w:tcPr>
            <w:tcW w:type="dxa" w:w="2160"/>
          </w:tcPr>
          <w:p>
            <w:r>
              <w:rPr>
                <w:sz w:val="20"/>
              </w:rPr>
              <w:t>34 each direction. Hybrid rail on fixed track.</w:t>
            </w:r>
          </w:p>
        </w:tc>
      </w:tr>
      <w:tr>
        <w:tc>
          <w:tcPr>
            <w:tcW w:type="dxa" w:w="2160"/>
          </w:tcPr>
          <w:p>
            <w:r>
              <w:rPr>
                <w:sz w:val="20"/>
              </w:rPr>
              <w:t>NCTD</w:t>
            </w:r>
          </w:p>
        </w:tc>
        <w:tc>
          <w:tcPr>
            <w:tcW w:type="dxa" w:w="2160"/>
          </w:tcPr>
          <w:p>
            <w:r>
              <w:rPr>
                <w:sz w:val="20"/>
              </w:rPr>
              <w:t>COASTER</w:t>
            </w:r>
          </w:p>
        </w:tc>
        <w:tc>
          <w:tcPr>
            <w:tcW w:type="dxa" w:w="2160"/>
          </w:tcPr>
          <w:p>
            <w:r>
              <w:rPr>
                <w:sz w:val="20"/>
              </w:rPr>
              <w:t>30</w:t>
            </w:r>
          </w:p>
        </w:tc>
        <w:tc>
          <w:tcPr>
            <w:tcW w:type="dxa" w:w="2160"/>
          </w:tcPr>
          <w:p>
            <w:r>
              <w:rPr>
                <w:sz w:val="20"/>
              </w:rPr>
              <w:t>Commuter rail, San Diego to Oceanside corridor</w:t>
            </w:r>
          </w:p>
        </w:tc>
      </w:tr>
      <w:tr>
        <w:tc>
          <w:tcPr>
            <w:tcW w:type="dxa" w:w="2160"/>
          </w:tcPr>
          <w:p>
            <w:r>
              <w:rPr>
                <w:sz w:val="20"/>
              </w:rPr>
              <w:t>Amtrak</w:t>
            </w:r>
          </w:p>
        </w:tc>
        <w:tc>
          <w:tcPr>
            <w:tcW w:type="dxa" w:w="2160"/>
          </w:tcPr>
          <w:p>
            <w:r>
              <w:rPr>
                <w:sz w:val="20"/>
              </w:rPr>
              <w:t>Pacific Surfliner</w:t>
            </w:r>
          </w:p>
        </w:tc>
        <w:tc>
          <w:tcPr>
            <w:tcW w:type="dxa" w:w="2160"/>
          </w:tcPr>
          <w:p>
            <w:r>
              <w:rPr>
                <w:sz w:val="20"/>
              </w:rPr>
              <w:t>26</w:t>
            </w:r>
          </w:p>
        </w:tc>
        <w:tc>
          <w:tcPr>
            <w:tcW w:type="dxa" w:w="2160"/>
          </w:tcPr>
          <w:p>
            <w:r>
              <w:rPr>
                <w:sz w:val="20"/>
              </w:rPr>
              <w:t>San Diego to LA/San Luis Obispo. Extra Friday service.</w:t>
            </w:r>
          </w:p>
        </w:tc>
      </w:tr>
      <w:tr>
        <w:tc>
          <w:tcPr>
            <w:tcW w:type="dxa" w:w="2160"/>
          </w:tcPr>
          <w:p>
            <w:r>
              <w:rPr>
                <w:sz w:val="20"/>
              </w:rPr>
              <w:t>Metrolink</w:t>
            </w:r>
          </w:p>
        </w:tc>
        <w:tc>
          <w:tcPr>
            <w:tcW w:type="dxa" w:w="2160"/>
          </w:tcPr>
          <w:p>
            <w:r>
              <w:rPr>
                <w:sz w:val="20"/>
              </w:rPr>
              <w:t>Inland Empire-OC Line</w:t>
            </w:r>
          </w:p>
        </w:tc>
        <w:tc>
          <w:tcPr>
            <w:tcW w:type="dxa" w:w="2160"/>
          </w:tcPr>
          <w:p>
            <w:r>
              <w:rPr>
                <w:sz w:val="20"/>
              </w:rPr>
              <w:t>6</w:t>
            </w:r>
          </w:p>
        </w:tc>
        <w:tc>
          <w:tcPr>
            <w:tcW w:type="dxa" w:w="2160"/>
          </w:tcPr>
          <w:p>
            <w:r>
              <w:rPr>
                <w:sz w:val="20"/>
              </w:rPr>
              <w:t>Commuter rail, terminates at Oceanside</w:t>
            </w:r>
          </w:p>
        </w:tc>
      </w:tr>
      <w:tr>
        <w:tc>
          <w:tcPr>
            <w:tcW w:type="dxa" w:w="2160"/>
          </w:tcPr>
          <w:p>
            <w:r>
              <w:rPr>
                <w:sz w:val="20"/>
              </w:rPr>
            </w:r>
          </w:p>
        </w:tc>
        <w:tc>
          <w:tcPr>
            <w:tcW w:type="dxa" w:w="2160"/>
          </w:tcPr>
          <w:p>
            <w:r>
              <w:rPr>
                <w:sz w:val="20"/>
              </w:rPr>
              <w:t>TOTAL</w:t>
            </w:r>
          </w:p>
        </w:tc>
        <w:tc>
          <w:tcPr>
            <w:tcW w:type="dxa" w:w="2160"/>
          </w:tcPr>
          <w:p>
            <w:r>
              <w:rPr>
                <w:sz w:val="20"/>
              </w:rPr>
              <w:t>130+</w:t>
            </w:r>
          </w:p>
        </w:tc>
        <w:tc>
          <w:tcPr>
            <w:tcW w:type="dxa" w:w="2160"/>
          </w:tcPr>
          <w:p>
            <w:r>
              <w:rPr>
                <w:sz w:val="20"/>
              </w:rPr>
              <w:t>Tier 1 bar: 72. Clears it by 80%.</w:t>
            </w:r>
          </w:p>
        </w:tc>
      </w:tr>
    </w:tbl>
    <w:p>
      <w:r>
        <w:t>Source: YIMBY Dems and CalHDF joint SANDAG letter, May 29, 2026. Numbers confirmed against published GTFS schedules.</w:t>
      </w:r>
    </w:p>
    <w:p>
      <w:pPr>
        <w:pStyle w:val="Heading1"/>
      </w:pPr>
      <w:r>
        <w:rPr>
          <w:color w:val="1B3A5C"/>
        </w:rPr>
        <w:t>What Council Actually Saw</w:t>
      </w:r>
    </w:p>
    <w:p>
      <w:r>
        <w:t>Staff briefed council twice: January 14, 2026 (Item 18) and April 8 (Item 31). Both decks carry an identical Key Definitions slide. Word for word, here is what it says about frequency:</w:t>
      </w:r>
    </w:p>
    <w:p>
      <w:pPr>
        <w:ind w:left="567" w:right="567"/>
      </w:pPr>
      <w:r>
        <w:rPr>
          <w:i/>
          <w:color w:val="8B0000"/>
        </w:rPr>
        <w:t>"Note: Sprinter currently operates with 34 trains in each direction, or 68 trains total on a typical weekday.</w:t>
        <w:br/>
        <w:br/>
        <w:t>The Sprinter line is technically neither a commuter rail line or light rail transit service. Rather, it's considered a 'hybrid' line which is undefined in the legislation."</w:t>
      </w:r>
    </w:p>
    <w:p>
      <w:r>
        <w:t>Full stop. No COASTER. No Surfliner. No Metrolink. No aggregation rule. Staff showed a single-operator snapshot and let the math speak for itself: 68 is less than 72, so OTC looks like Tier 2.</w:t>
      </w:r>
    </w:p>
    <w:p>
      <w:pPr>
        <w:pStyle w:val="Heading2"/>
      </w:pPr>
      <w:r>
        <w:rPr>
          <w:color w:val="1B3A5C"/>
        </w:rPr>
        <w:t>The Selective Lens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What staff displayed</w:t>
            </w:r>
          </w:p>
        </w:tc>
        <w:tc>
          <w:tcPr>
            <w:tcW w:type="dxa" w:w="4320"/>
          </w:tcPr>
          <w:p>
            <w:r>
              <w:rPr>
                <w:b/>
                <w:sz w:val="20"/>
              </w:rPr>
              <w:t>What staff omitted</w:t>
            </w:r>
          </w:p>
        </w:tc>
      </w:tr>
      <w:tr>
        <w:tc>
          <w:tcPr>
            <w:tcW w:type="dxa" w:w="4320"/>
          </w:tcPr>
          <w:p>
            <w:r>
              <w:rPr>
                <w:sz w:val="20"/>
              </w:rPr>
              <w:t>Sprinter: 68 runs/day</w:t>
            </w:r>
          </w:p>
        </w:tc>
        <w:tc>
          <w:tcPr>
            <w:tcW w:type="dxa" w:w="4320"/>
          </w:tcPr>
          <w:p>
            <w:r>
              <w:rPr>
                <w:sz w:val="20"/>
              </w:rPr>
              <w:t>COASTER: 30 runs/day</w:t>
            </w:r>
          </w:p>
        </w:tc>
      </w:tr>
      <w:tr>
        <w:tc>
          <w:tcPr>
            <w:tcW w:type="dxa" w:w="4320"/>
          </w:tcPr>
          <w:p>
            <w:r>
              <w:rPr>
                <w:sz w:val="20"/>
              </w:rPr>
              <w:t>"Hybrid line, undefined in legislation"</w:t>
            </w:r>
          </w:p>
        </w:tc>
        <w:tc>
          <w:tcPr>
            <w:tcW w:type="dxa" w:w="4320"/>
          </w:tcPr>
          <w:p>
            <w:r>
              <w:rPr>
                <w:sz w:val="20"/>
              </w:rPr>
              <w:t>Pacific Surfliner: 26 runs/day</w:t>
            </w:r>
          </w:p>
        </w:tc>
      </w:tr>
      <w:tr>
        <w:tc>
          <w:tcPr>
            <w:tcW w:type="dxa" w:w="4320"/>
          </w:tcPr>
          <w:p>
            <w:r>
              <w:rPr>
                <w:sz w:val="20"/>
              </w:rPr>
              <w:t>Implication: OTC sits below 72</w:t>
            </w:r>
          </w:p>
        </w:tc>
        <w:tc>
          <w:tcPr>
            <w:tcW w:type="dxa" w:w="4320"/>
          </w:tcPr>
          <w:p>
            <w:r>
              <w:rPr>
                <w:sz w:val="20"/>
              </w:rPr>
              <w:t>Metrolink: 6 runs/day</w:t>
            </w:r>
          </w:p>
        </w:tc>
      </w:tr>
      <w:tr>
        <w:tc>
          <w:tcPr>
            <w:tcW w:type="dxa" w:w="4320"/>
          </w:tcPr>
          <w:p>
            <w:r>
              <w:rPr>
                <w:sz w:val="20"/>
              </w:rPr>
            </w:r>
          </w:p>
        </w:tc>
        <w:tc>
          <w:tcPr>
            <w:tcW w:type="dxa" w:w="4320"/>
          </w:tcPr>
          <w:p>
            <w:r>
              <w:rPr>
                <w:sz w:val="20"/>
              </w:rPr>
              <w:t>Aggregate: 130+ runs/day</w:t>
            </w:r>
          </w:p>
        </w:tc>
      </w:tr>
      <w:tr>
        <w:tc>
          <w:tcPr>
            <w:tcW w:type="dxa" w:w="4320"/>
          </w:tcPr>
          <w:p>
            <w:r>
              <w:rPr>
                <w:sz w:val="20"/>
              </w:rPr>
            </w:r>
          </w:p>
        </w:tc>
        <w:tc>
          <w:tcPr>
            <w:tcW w:type="dxa" w:w="4320"/>
          </w:tcPr>
          <w:p>
            <w:r>
              <w:rPr>
                <w:sz w:val="20"/>
              </w:rPr>
              <w:t>HCD March 2026 advisory: count ALL operators</w:t>
            </w:r>
          </w:p>
        </w:tc>
      </w:tr>
    </w:tbl>
    <w:p>
      <w:r>
        <w:t>Staff didn't miscount. They picked which runs to display. Sprinter alone (68) sits four below the threshold. Toss in COASTER and you're at 98. Toss in every operator and you're at 130. The gap between 68 and 130 is 62 phantom trains that never appeared on a single council slide.</w:t>
      </w:r>
    </w:p>
    <w:p>
      <w:pPr>
        <w:pStyle w:val="Heading1"/>
      </w:pPr>
      <w:r>
        <w:rPr>
          <w:color w:val="1B3A5C"/>
        </w:rPr>
        <w:t>The 'Hybrid' Smokescreen</w:t>
      </w:r>
    </w:p>
    <w:p>
      <w:r>
        <w:t>Both presentations label Sprinter "hybrid" and flag the term as "undefined in the legislation." Implication: maybe it shouldn't count at all. Two problems with that.</w:t>
      </w:r>
    </w:p>
    <w:p>
      <w:r>
        <w:t>Problem one: strip Sprinter out entirely. COASTER, Surfliner, and Metrolink still deliver 62 daily runs. Below Tier 1, yes. But staff never mentioned those 62 either, because naming them would expose OTC as a multi-operator hub, not a lone Sprinter stop.</w:t>
      </w:r>
    </w:p>
    <w:p>
      <w:r>
        <w:t>Problem two: Sprinter does qualify. SB 79 defines commuter rail as "a public rail transit service not meeting the standards for heavy rail or light rail, excluding California High-Speed Rail and Amtrak Long Distance Service." Sprinter is public rail. It isn't heavy rail. NCTD itself called it light rail in board resolutions 03-11, 09-16, and 15-08. Whichever box you put it in, the station clears Tier 1.</w:t>
      </w:r>
    </w:p>
    <w:p>
      <w:pPr>
        <w:pStyle w:val="Heading1"/>
      </w:pPr>
      <w:r>
        <w:rPr>
          <w:color w:val="1B3A5C"/>
        </w:rPr>
        <w:t>A Timeline of Omissions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Date</w:t>
            </w:r>
          </w:p>
        </w:tc>
        <w:tc>
          <w:tcPr>
            <w:tcW w:type="dxa" w:w="4320"/>
          </w:tcPr>
          <w:p>
            <w:r>
              <w:rPr>
                <w:b/>
                <w:sz w:val="20"/>
              </w:rPr>
              <w:t>What happened</w:t>
            </w:r>
          </w:p>
        </w:tc>
      </w:tr>
      <w:tr>
        <w:tc>
          <w:tcPr>
            <w:tcW w:type="dxa" w:w="4320"/>
          </w:tcPr>
          <w:p>
            <w:r>
              <w:rPr>
                <w:sz w:val="20"/>
              </w:rPr>
              <w:t>Jan 14, 2026</w:t>
            </w:r>
          </w:p>
        </w:tc>
        <w:tc>
          <w:tcPr>
            <w:tcW w:type="dxa" w:w="4320"/>
          </w:tcPr>
          <w:p>
            <w:r>
              <w:rPr>
                <w:sz w:val="20"/>
              </w:rPr>
              <w:t>Staff debut SB 79 for council. One slide. Sprinter only. 68 trains.</w:t>
            </w:r>
          </w:p>
        </w:tc>
      </w:tr>
      <w:tr>
        <w:tc>
          <w:tcPr>
            <w:tcW w:type="dxa" w:w="4320"/>
          </w:tcPr>
          <w:p>
            <w:r>
              <w:rPr>
                <w:sz w:val="20"/>
              </w:rPr>
              <w:t>Mar 20, 2026</w:t>
            </w:r>
          </w:p>
        </w:tc>
        <w:tc>
          <w:tcPr>
            <w:tcW w:type="dxa" w:w="4320"/>
          </w:tcPr>
          <w:p>
            <w:r>
              <w:rPr>
                <w:sz w:val="20"/>
              </w:rPr>
              <w:t>HCD publishes aggregation advisory. Every operator, both directions, same station.</w:t>
            </w:r>
          </w:p>
        </w:tc>
      </w:tr>
      <w:tr>
        <w:tc>
          <w:tcPr>
            <w:tcW w:type="dxa" w:w="4320"/>
          </w:tcPr>
          <w:p>
            <w:r>
              <w:rPr>
                <w:sz w:val="20"/>
              </w:rPr>
              <w:t>Apr 8, 2026</w:t>
            </w:r>
          </w:p>
        </w:tc>
        <w:tc>
          <w:tcPr>
            <w:tcW w:type="dxa" w:w="4320"/>
          </w:tcPr>
          <w:p>
            <w:r>
              <w:rPr>
                <w:sz w:val="20"/>
              </w:rPr>
              <w:t>Second council briefing. Same deck. Same slide. Same lone Sprinter number. Zero acknowledgment of HCD guidance.</w:t>
            </w:r>
          </w:p>
        </w:tc>
      </w:tr>
      <w:tr>
        <w:tc>
          <w:tcPr>
            <w:tcW w:type="dxa" w:w="4320"/>
          </w:tcPr>
          <w:p>
            <w:r>
              <w:rPr>
                <w:sz w:val="20"/>
              </w:rPr>
              <w:t>May 18, 2026</w:t>
            </w:r>
          </w:p>
        </w:tc>
        <w:tc>
          <w:tcPr>
            <w:tcW w:type="dxa" w:w="4320"/>
          </w:tcPr>
          <w:p>
            <w:r>
              <w:rPr>
                <w:sz w:val="20"/>
              </w:rPr>
              <w:t>Planning Commission rubber-stamps SB 79 ordinance 7-0. OTC locked in as Tier 2.</w:t>
            </w:r>
          </w:p>
        </w:tc>
      </w:tr>
      <w:tr>
        <w:tc>
          <w:tcPr>
            <w:tcW w:type="dxa" w:w="4320"/>
          </w:tcPr>
          <w:p>
            <w:r>
              <w:rPr>
                <w:sz w:val="20"/>
              </w:rPr>
              <w:t>May 29, 2026</w:t>
            </w:r>
          </w:p>
        </w:tc>
        <w:tc>
          <w:tcPr>
            <w:tcW w:type="dxa" w:w="4320"/>
          </w:tcPr>
          <w:p>
            <w:r>
              <w:rPr>
                <w:sz w:val="20"/>
              </w:rPr>
              <w:t>Six-org coalition (YIMBY Dems, CalHDF, YIMBY Law, CA YIMBY, Circulate, Californians for Homeownership) sends SANDAG the real math. 130 trains. Four operators. Tier 1.</w:t>
            </w:r>
          </w:p>
        </w:tc>
      </w:tr>
    </w:tbl>
    <w:p>
      <w:r>
        <w:t>Staff had two months between HCD's advisory and the Planning Commission vote. Updating a PowerPoint slide was apparently too heavy a lift.</w:t>
      </w:r>
    </w:p>
    <w:p>
      <w:pPr>
        <w:pStyle w:val="Heading1"/>
      </w:pPr>
      <w:r>
        <w:rPr>
          <w:color w:val="1B3A5C"/>
        </w:rPr>
        <w:t>Density at Stake</w:t>
      </w:r>
    </w:p>
    <w:p>
      <w:r>
        <w:t>This is not a technicality. The tier controls how much gets built near OTC.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Tier 2 (staff classification)</w:t>
            </w:r>
          </w:p>
        </w:tc>
        <w:tc>
          <w:tcPr>
            <w:tcW w:type="dxa" w:w="2880"/>
          </w:tcPr>
          <w:p>
            <w:r>
              <w:rPr>
                <w:b/>
                <w:sz w:val="20"/>
              </w:rPr>
              <w:t>Tier 1 (correct)</w:t>
            </w:r>
          </w:p>
        </w:tc>
      </w:tr>
      <w:tr>
        <w:tc>
          <w:tcPr>
            <w:tcW w:type="dxa" w:w="2880"/>
          </w:tcPr>
          <w:p>
            <w:r>
              <w:rPr>
                <w:sz w:val="20"/>
              </w:rPr>
              <w:t>Max density (within 1/4 mi)</w:t>
            </w:r>
          </w:p>
        </w:tc>
        <w:tc>
          <w:tcPr>
            <w:tcW w:type="dxa" w:w="2880"/>
          </w:tcPr>
          <w:p>
            <w:r>
              <w:rPr>
                <w:sz w:val="20"/>
              </w:rPr>
              <w:t>100 du/ac</w:t>
            </w:r>
          </w:p>
        </w:tc>
        <w:tc>
          <w:tcPr>
            <w:tcW w:type="dxa" w:w="2880"/>
          </w:tcPr>
          <w:p>
            <w:r>
              <w:rPr>
                <w:sz w:val="20"/>
              </w:rPr>
              <w:t>120 du/ac</w:t>
            </w:r>
          </w:p>
        </w:tc>
      </w:tr>
      <w:tr>
        <w:tc>
          <w:tcPr>
            <w:tcW w:type="dxa" w:w="2880"/>
          </w:tcPr>
          <w:p>
            <w:r>
              <w:rPr>
                <w:sz w:val="20"/>
              </w:rPr>
              <w:t>Max height (within 1/4 mi)</w:t>
            </w:r>
          </w:p>
        </w:tc>
        <w:tc>
          <w:tcPr>
            <w:tcW w:type="dxa" w:w="2880"/>
          </w:tcPr>
          <w:p>
            <w:r>
              <w:rPr>
                <w:sz w:val="20"/>
              </w:rPr>
              <w:t>65 ft</w:t>
            </w:r>
          </w:p>
        </w:tc>
        <w:tc>
          <w:tcPr>
            <w:tcW w:type="dxa" w:w="2880"/>
          </w:tcPr>
          <w:p>
            <w:r>
              <w:rPr>
                <w:sz w:val="20"/>
              </w:rPr>
              <w:t>75 ft</w:t>
            </w:r>
          </w:p>
        </w:tc>
      </w:tr>
      <w:tr>
        <w:tc>
          <w:tcPr>
            <w:tcW w:type="dxa" w:w="2880"/>
          </w:tcPr>
          <w:p>
            <w:r>
              <w:rPr>
                <w:sz w:val="20"/>
              </w:rPr>
              <w:t>Max FAR (within 1/4 mi)</w:t>
            </w:r>
          </w:p>
        </w:tc>
        <w:tc>
          <w:tcPr>
            <w:tcW w:type="dxa" w:w="2880"/>
          </w:tcPr>
          <w:p>
            <w:r>
              <w:rPr>
                <w:sz w:val="20"/>
              </w:rPr>
              <w:t>3.0</w:t>
            </w:r>
          </w:p>
        </w:tc>
        <w:tc>
          <w:tcPr>
            <w:tcW w:type="dxa" w:w="2880"/>
          </w:tcPr>
          <w:p>
            <w:r>
              <w:rPr>
                <w:sz w:val="20"/>
              </w:rPr>
              <w:t>3.5</w:t>
            </w:r>
          </w:p>
        </w:tc>
      </w:tr>
      <w:tr>
        <w:tc>
          <w:tcPr>
            <w:tcW w:type="dxa" w:w="2880"/>
          </w:tcPr>
          <w:p>
            <w:r>
              <w:rPr>
                <w:sz w:val="20"/>
              </w:rPr>
              <w:t>Max density (1/4-1/2 mi)</w:t>
            </w:r>
          </w:p>
        </w:tc>
        <w:tc>
          <w:tcPr>
            <w:tcW w:type="dxa" w:w="2880"/>
          </w:tcPr>
          <w:p>
            <w:r>
              <w:rPr>
                <w:sz w:val="20"/>
              </w:rPr>
              <w:t>80 du/ac</w:t>
            </w:r>
          </w:p>
        </w:tc>
        <w:tc>
          <w:tcPr>
            <w:tcW w:type="dxa" w:w="2880"/>
          </w:tcPr>
          <w:p>
            <w:r>
              <w:rPr>
                <w:sz w:val="20"/>
              </w:rPr>
              <w:t>100 du/ac</w:t>
            </w:r>
          </w:p>
        </w:tc>
      </w:tr>
      <w:tr>
        <w:tc>
          <w:tcPr>
            <w:tcW w:type="dxa" w:w="2880"/>
          </w:tcPr>
          <w:p>
            <w:r>
              <w:rPr>
                <w:sz w:val="20"/>
              </w:rPr>
              <w:t>Max height (1/4-1/2 mi)</w:t>
            </w:r>
          </w:p>
        </w:tc>
        <w:tc>
          <w:tcPr>
            <w:tcW w:type="dxa" w:w="2880"/>
          </w:tcPr>
          <w:p>
            <w:r>
              <w:rPr>
                <w:sz w:val="20"/>
              </w:rPr>
              <w:t>55 ft</w:t>
            </w:r>
          </w:p>
        </w:tc>
        <w:tc>
          <w:tcPr>
            <w:tcW w:type="dxa" w:w="2880"/>
          </w:tcPr>
          <w:p>
            <w:r>
              <w:rPr>
                <w:sz w:val="20"/>
              </w:rPr>
              <w:t>65 ft</w:t>
            </w:r>
          </w:p>
        </w:tc>
      </w:tr>
      <w:tr>
        <w:tc>
          <w:tcPr>
            <w:tcW w:type="dxa" w:w="2880"/>
          </w:tcPr>
          <w:p>
            <w:r>
              <w:rPr>
                <w:sz w:val="20"/>
              </w:rPr>
              <w:t>Max FAR (1/4-1/2 mi)</w:t>
            </w:r>
          </w:p>
        </w:tc>
        <w:tc>
          <w:tcPr>
            <w:tcW w:type="dxa" w:w="2880"/>
          </w:tcPr>
          <w:p>
            <w:r>
              <w:rPr>
                <w:sz w:val="20"/>
              </w:rPr>
              <w:t>2.5</w:t>
            </w:r>
          </w:p>
        </w:tc>
        <w:tc>
          <w:tcPr>
            <w:tcW w:type="dxa" w:w="2880"/>
          </w:tcPr>
          <w:p>
            <w:r>
              <w:rPr>
                <w:sz w:val="20"/>
              </w:rPr>
              <w:t>3.0</w:t>
            </w:r>
          </w:p>
        </w:tc>
      </w:tr>
      <w:tr>
        <w:tc>
          <w:tcPr>
            <w:tcW w:type="dxa" w:w="2880"/>
          </w:tcPr>
          <w:p>
            <w:r>
              <w:rPr>
                <w:sz w:val="20"/>
              </w:rPr>
              <w:t>Adjacent intensifier</w:t>
            </w:r>
          </w:p>
        </w:tc>
        <w:tc>
          <w:tcPr>
            <w:tcW w:type="dxa" w:w="2880"/>
          </w:tcPr>
          <w:p>
            <w:r>
              <w:rPr>
                <w:sz w:val="20"/>
              </w:rPr>
              <w:t>+20ft, +40 du/ac, +1.0 FAR</w:t>
            </w:r>
          </w:p>
        </w:tc>
        <w:tc>
          <w:tcPr>
            <w:tcW w:type="dxa" w:w="2880"/>
          </w:tcPr>
          <w:p>
            <w:r>
              <w:rPr>
                <w:sz w:val="20"/>
              </w:rPr>
              <w:t>+20ft, +40 du/ac, +1.0 FAR</w:t>
            </w:r>
          </w:p>
        </w:tc>
      </w:tr>
    </w:tbl>
    <w:p>
      <w:r>
        <w:t>Within a quarter mile, Tier 2 caps density at 100 du/acre and height at 65 feet. Tier 1 allows 120 du/acre and 75 feet. That 20% haircut is the margin on every deal. At Oceanside land prices, projects pencil with affordable units at 120. They don't at 100. Drop to 80 in the quarter-to-half-mile ring and nothing pencils.</w:t>
      </w:r>
    </w:p>
    <w:p>
      <w:pPr>
        <w:pStyle w:val="Heading1"/>
      </w:pPr>
      <w:r>
        <w:rPr>
          <w:color w:val="1B3A5C"/>
        </w:rPr>
        <w:t>Litigation Exposure</w:t>
      </w:r>
    </w:p>
    <w:p>
      <w:r>
        <w:t>This layer is Oceanside's weakest. Other parts of the legal strategy demand statutory interpretation. This one demands a calculator.</w:t>
      </w:r>
    </w:p>
    <w:p>
      <w:pPr>
        <w:pStyle w:val="ListBullet"/>
      </w:pPr>
      <w:r>
        <w:t>SANDAG's forthcoming TOD map carries a rebuttable presumption of validity (Gov. Code 65912.160(f)). The six-org coalition has asked SANDAG to designate OTC as Tier 1. If SANDAG complies, Oceanside would be arguing against its own regional planning body.</w:t>
      </w:r>
    </w:p>
    <w:p>
      <w:pPr>
        <w:pStyle w:val="ListBullet"/>
      </w:pPr>
      <w:r>
        <w:t>CalHDF put it bluntly: the misclassification is "one of the most brazen fabrications in the state," on par with Woodside's mountain-lion stunt.</w:t>
      </w:r>
    </w:p>
    <w:p>
      <w:pPr>
        <w:pStyle w:val="ListBullet"/>
      </w:pPr>
      <w:r>
        <w:t>Starting January 1, 2027, denying SB 79 projects near OTC in high-resource areas triggers an automatic Housing Accountability Act presumption. OTC sits squarely in a high-resource zone.</w:t>
      </w:r>
    </w:p>
    <w:p>
      <w:pPr>
        <w:pStyle w:val="ListBullet"/>
      </w:pPr>
      <w:r>
        <w:t>A CPRA request for internal correspondence on OTC's tier designation would surface whether staff computed an aggregate and withheld it, or never ran one. Either answer is damaging.</w:t>
      </w:r>
    </w:p>
    <w:p>
      <w:pPr>
        <w:pStyle w:val="Heading1"/>
      </w:pPr>
      <w:r>
        <w:rPr>
          <w:color w:val="1B3A5C"/>
        </w:rPr>
        <w:t>The Woodside Echo</w:t>
      </w:r>
    </w:p>
    <w:p>
      <w:r>
        <w:t>Woodside declared itself a mountain-lion habitat in 2022 to dodge SB 9 duplexes. National ridicule followed. Reversal took two weeks.</w:t>
      </w:r>
    </w:p>
    <w:p>
      <w:r>
        <w:t>Oceanside's move is the same species: an arithmetic falsehood wearing planning-judgment clothing. 130 &gt; 72 takes no more expertise than recognizing that a wealthy suburb is not exclusively inhabited by cougars. One difference: Woodside folded. Oceanside doubled down.</w:t>
      </w:r>
    </w:p>
    <w:p>
      <w:pPr>
        <w:ind w:left="567" w:right="567"/>
      </w:pPr>
      <w:r>
        <w:rPr>
          <w:i/>
          <w:color w:val="8B0000"/>
        </w:rPr>
        <w:t>Staff had the numbers. They chose which ones to present. 130 runs stop at OTC every weekday, from four separate operators. The bar is 72. No interpretation is required. Only a decision not to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