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6"/>
        </w:rPr>
        <w:t>How Oceanside Exempted an Entire City</w:t>
      </w:r>
    </w:p>
    <w:p>
      <w:pPr>
        <w:jc w:val="center"/>
      </w:pPr>
      <w:r>
        <w:rPr>
          <w:i/>
          <w:color w:val="666666"/>
          <w:sz w:val="22"/>
        </w:rPr>
        <w:t>Walking Paths, Deferments, and the SB 79 Evasion Ordinance | June 2026</w:t>
      </w:r>
    </w:p>
    <w:p>
      <w:pPr>
        <w:pStyle w:val="Heading1"/>
      </w:pPr>
      <w:r>
        <w:rPr>
          <w:color w:val="1B3A5C"/>
        </w:rPr>
        <w:t>The Scale of What They're Attempting</w:t>
      </w:r>
    </w:p>
    <w:p>
      <w:r>
        <w:t>SANDAG parcel data shows approximately 18,800 parcels within half a mile of Oceanside's 8 transit stations. That is the SB 79 universe. On June 3, 2026, Oceanside's City Council took up an ordinance (File #26-1529) designed to exempt, exclude, and defer as many of those parcels as possible. Staff didn't pretend otherwise. Direct quote from the report: "exempting and deferring as many sites as possible would potentially reduce SB 79's impact to the greatest extent possible." That's not our interpretation. Those are their words.</w:t>
      </w:r>
    </w:p>
    <w:p>
      <w:r>
        <w:t>The ordinance deploys multiple tools. The only one with verifiable parcel-level data — the walking path exemption — covers 710 parcels, or 3.8% of the total. The city claims deferments, rent control reclassification, habitat exclusions, and a planned Alternative Plan cover the rest. No public data confirms this.</w:t>
      </w:r>
    </w:p>
    <w:p>
      <w:pPr>
        <w:pStyle w:val="Heading1"/>
      </w:pPr>
      <w:r>
        <w:rPr>
          <w:color w:val="1B3A5C"/>
        </w:rPr>
        <w:t>Prong 1: Walking Path Exemptions (Permanent)</w:t>
      </w:r>
    </w:p>
    <w:p>
      <w:r>
        <w:t>SB 79 has a narrow escape valve. If a parcel has no "walking path" of less than one mile to a transit stop, the city can exempt it (Gov. Code 65912.160(e)(1)). Requires site-specific findings backed by substantial evidence. The Legislature meant this for parcels cut off by freeways, rivers, rail corridors. Genuinely stranded land.</w:t>
      </w:r>
    </w:p>
    <w:p>
      <w:r>
        <w:t>Oceanside turned that escape valve into a fire hose.</w:t>
      </w:r>
    </w:p>
    <w:p>
      <w:pPr>
        <w:pStyle w:val="Heading2"/>
      </w:pPr>
      <w:r>
        <w:rPr>
          <w:color w:val="1B3A5C"/>
        </w:rPr>
        <w:t>The Definition Trick</w:t>
      </w:r>
    </w:p>
    <w:p>
      <w:r>
        <w:t>The statute says "walking path." Two words. No definition provided. So the city wrote one:</w:t>
      </w:r>
    </w:p>
    <w:p>
      <w:pPr>
        <w:ind w:left="567" w:right="567"/>
      </w:pPr>
      <w:r>
        <w:rPr>
          <w:i/>
          <w:color w:val="8B0000"/>
        </w:rPr>
        <w:t>"Walking path" for this purpose means: a publicly accessible, continuous, and unobstructed path of travel with continuous paved or improved sidewalk from the closest point of the affected parcel to the pedestrian access point of the transit-oriented development stop.</w:t>
      </w:r>
    </w:p>
    <w:p>
      <w:r>
        <w:t>Look at the word "continuous." One missing sidewalk segment anywhere along the route and the whole path fails. Doesn't matter if 95% of the route has perfect concrete. One gap. Chain broken. Parcel exempted.</w:t>
      </w:r>
    </w:p>
    <w:p>
      <w:r>
        <w:t>Staff knew exactly what they built. At the May 18 Planning Commission hearing: "There is no definition of walking path in the statute, so the city created our own definition." They said it out loud.</w:t>
      </w:r>
    </w:p>
    <w:p>
      <w:pPr>
        <w:pStyle w:val="Heading2"/>
      </w:pPr>
      <w:r>
        <w:rPr>
          <w:color w:val="1B3A5C"/>
        </w:rPr>
        <w:t>The Data That Contradicts the Conclusion</w:t>
      </w:r>
    </w:p>
    <w:p>
      <w:r>
        <w:t>A PRA request pulled two shapefiles from city GIS. Side by side, they blow the whole thing apart.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Shapefile</w:t>
            </w:r>
          </w:p>
        </w:tc>
        <w:tc>
          <w:tcPr>
            <w:tcW w:type="dxa" w:w="2880"/>
          </w:tcPr>
          <w:p>
            <w:r>
              <w:rPr>
                <w:b/>
                <w:sz w:val="20"/>
              </w:rPr>
              <w:t>Contents</w:t>
            </w:r>
          </w:p>
        </w:tc>
        <w:tc>
          <w:tcPr>
            <w:tcW w:type="dxa" w:w="2880"/>
          </w:tcPr>
          <w:p>
            <w:r>
              <w:rPr>
                <w:b/>
                <w:sz w:val="20"/>
              </w:rPr>
              <w:t>Result</w:t>
            </w:r>
          </w:p>
        </w:tc>
      </w:tr>
      <w:tr>
        <w:tc>
          <w:tcPr>
            <w:tcW w:type="dxa" w:w="2880"/>
          </w:tcPr>
          <w:p>
            <w:r>
              <w:rPr>
                <w:sz w:val="20"/>
              </w:rPr>
              <w:t>pathoftravel.shp</w:t>
            </w:r>
          </w:p>
        </w:tc>
        <w:tc>
          <w:tcPr>
            <w:tcW w:type="dxa" w:w="2880"/>
          </w:tcPr>
          <w:p>
            <w:r>
              <w:rPr>
                <w:sz w:val="20"/>
              </w:rPr>
              <w:t>710 parcels analyzed for walkability</w:t>
            </w:r>
          </w:p>
        </w:tc>
        <w:tc>
          <w:tcPr>
            <w:tcW w:type="dxa" w:w="2880"/>
          </w:tcPr>
          <w:p>
            <w:r>
              <w:rPr>
                <w:sz w:val="20"/>
              </w:rPr>
              <w:t>ALL 710 scored Walkability = 0</w:t>
            </w:r>
          </w:p>
        </w:tc>
      </w:tr>
      <w:tr>
        <w:tc>
          <w:tcPr>
            <w:tcW w:type="dxa" w:w="2880"/>
          </w:tcPr>
          <w:p>
            <w:r>
              <w:rPr>
                <w:sz w:val="20"/>
              </w:rPr>
              <w:t>OceansideSB79_sidewalks.shp</w:t>
            </w:r>
          </w:p>
        </w:tc>
        <w:tc>
          <w:tcPr>
            <w:tcW w:type="dxa" w:w="2880"/>
          </w:tcPr>
          <w:p>
            <w:r>
              <w:rPr>
                <w:sz w:val="20"/>
              </w:rPr>
              <w:t>8,128 road segments with sidewalk status</w:t>
            </w:r>
          </w:p>
        </w:tc>
        <w:tc>
          <w:tcPr>
            <w:tcW w:type="dxa" w:w="2880"/>
          </w:tcPr>
          <w:p>
            <w:r>
              <w:rPr>
                <w:sz w:val="20"/>
              </w:rPr>
              <w:t>1,726 in study area. 71% have sidewalks</w:t>
            </w:r>
          </w:p>
        </w:tc>
      </w:tr>
    </w:tbl>
    <w:p>
      <w:pPr>
        <w:pStyle w:val="Heading3"/>
      </w:pPr>
      <w:r>
        <w:rPr>
          <w:color w:val="1B3A5C"/>
        </w:rPr>
        <w:t>Sidewalk Inventory Breakdown (Study Area)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Status</w:t>
            </w:r>
          </w:p>
        </w:tc>
        <w:tc>
          <w:tcPr>
            <w:tcW w:type="dxa" w:w="2880"/>
          </w:tcPr>
          <w:p>
            <w:r>
              <w:rPr>
                <w:b/>
                <w:sz w:val="20"/>
              </w:rPr>
              <w:t>Segments</w:t>
            </w:r>
          </w:p>
        </w:tc>
        <w:tc>
          <w:tcPr>
            <w:tcW w:type="dxa" w:w="2880"/>
          </w:tcPr>
          <w:p>
            <w:r>
              <w:rPr>
                <w:b/>
                <w:sz w:val="20"/>
              </w:rPr>
              <w:t>Percentage</w:t>
            </w:r>
          </w:p>
        </w:tc>
      </w:tr>
      <w:tr>
        <w:tc>
          <w:tcPr>
            <w:tcW w:type="dxa" w:w="2880"/>
          </w:tcPr>
          <w:p>
            <w:r>
              <w:rPr>
                <w:sz w:val="20"/>
              </w:rPr>
              <w:t>Has sidewalk</w:t>
            </w:r>
          </w:p>
        </w:tc>
        <w:tc>
          <w:tcPr>
            <w:tcW w:type="dxa" w:w="2880"/>
          </w:tcPr>
          <w:p>
            <w:r>
              <w:rPr>
                <w:sz w:val="20"/>
              </w:rPr>
              <w:t>1,229</w:t>
            </w:r>
          </w:p>
        </w:tc>
        <w:tc>
          <w:tcPr>
            <w:tcW w:type="dxa" w:w="2880"/>
          </w:tcPr>
          <w:p>
            <w:r>
              <w:rPr>
                <w:sz w:val="20"/>
              </w:rPr>
              <w:t>71%</w:t>
            </w:r>
          </w:p>
        </w:tc>
      </w:tr>
      <w:tr>
        <w:tc>
          <w:tcPr>
            <w:tcW w:type="dxa" w:w="2880"/>
          </w:tcPr>
          <w:p>
            <w:r>
              <w:rPr>
                <w:sz w:val="20"/>
              </w:rPr>
              <w:t>No sidewalk</w:t>
            </w:r>
          </w:p>
        </w:tc>
        <w:tc>
          <w:tcPr>
            <w:tcW w:type="dxa" w:w="2880"/>
          </w:tcPr>
          <w:p>
            <w:r>
              <w:rPr>
                <w:sz w:val="20"/>
              </w:rPr>
              <w:t>315</w:t>
            </w:r>
          </w:p>
        </w:tc>
        <w:tc>
          <w:tcPr>
            <w:tcW w:type="dxa" w:w="2880"/>
          </w:tcPr>
          <w:p>
            <w:r>
              <w:rPr>
                <w:sz w:val="20"/>
              </w:rPr>
              <w:t>18%</w:t>
            </w:r>
          </w:p>
        </w:tc>
      </w:tr>
      <w:tr>
        <w:tc>
          <w:tcPr>
            <w:tcW w:type="dxa" w:w="2880"/>
          </w:tcPr>
          <w:p>
            <w:r>
              <w:rPr>
                <w:sz w:val="20"/>
              </w:rPr>
              <w:t>Other</w:t>
            </w:r>
          </w:p>
        </w:tc>
        <w:tc>
          <w:tcPr>
            <w:tcW w:type="dxa" w:w="2880"/>
          </w:tcPr>
          <w:p>
            <w:r>
              <w:rPr>
                <w:sz w:val="20"/>
              </w:rPr>
              <w:t>182</w:t>
            </w:r>
          </w:p>
        </w:tc>
        <w:tc>
          <w:tcPr>
            <w:tcW w:type="dxa" w:w="2880"/>
          </w:tcPr>
          <w:p>
            <w:r>
              <w:rPr>
                <w:sz w:val="20"/>
              </w:rPr>
              <w:t>11%</w:t>
            </w:r>
          </w:p>
        </w:tc>
      </w:tr>
      <w:tr>
        <w:tc>
          <w:tcPr>
            <w:tcW w:type="dxa" w:w="2880"/>
          </w:tcPr>
          <w:p>
            <w:r>
              <w:rPr>
                <w:sz w:val="20"/>
              </w:rPr>
              <w:t>Total evaluated</w:t>
            </w:r>
          </w:p>
        </w:tc>
        <w:tc>
          <w:tcPr>
            <w:tcW w:type="dxa" w:w="2880"/>
          </w:tcPr>
          <w:p>
            <w:r>
              <w:rPr>
                <w:sz w:val="20"/>
              </w:rPr>
              <w:t>1,726</w:t>
            </w:r>
          </w:p>
        </w:tc>
        <w:tc>
          <w:tcPr>
            <w:tcW w:type="dxa" w:w="2880"/>
          </w:tcPr>
          <w:p>
            <w:r>
              <w:rPr>
                <w:sz w:val="20"/>
              </w:rPr>
              <w:t>100%</w:t>
            </w:r>
          </w:p>
        </w:tc>
      </w:tr>
    </w:tbl>
    <w:p>
      <w:pPr>
        <w:pStyle w:val="Heading3"/>
      </w:pPr>
      <w:r>
        <w:rPr>
          <w:color w:val="1B3A5C"/>
        </w:rPr>
        <w:t>Where the 710 Parcels Actually Are — and Where They Aren't</w:t>
      </w:r>
    </w:p>
    <w:p>
      <w:r>
        <w:t>SANDAG parcel data reveals the true scale of what the walking path tool does and doesn't cover. Cross-referencing the PRA shapefile against the full parcel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Station</w:t>
            </w:r>
          </w:p>
        </w:tc>
        <w:tc>
          <w:tcPr>
            <w:tcW w:type="dxa" w:w="2160"/>
          </w:tcPr>
          <w:p>
            <w:r>
              <w:rPr>
                <w:b/>
                <w:sz w:val="20"/>
              </w:rPr>
              <w:t>Total Parcels (0.5 mi)</w:t>
            </w:r>
          </w:p>
        </w:tc>
        <w:tc>
          <w:tcPr>
            <w:tcW w:type="dxa" w:w="2160"/>
          </w:tcPr>
          <w:p>
            <w:r>
              <w:rPr>
                <w:b/>
                <w:sz w:val="20"/>
              </w:rPr>
              <w:t>Walking Path Shapefile</w:t>
            </w:r>
          </w:p>
        </w:tc>
        <w:tc>
          <w:tcPr>
            <w:tcW w:type="dxa" w:w="2160"/>
          </w:tcPr>
          <w:p>
            <w:r>
              <w:rPr>
                <w:b/>
                <w:sz w:val="20"/>
              </w:rPr>
              <w:t>Coverage</w:t>
            </w:r>
          </w:p>
        </w:tc>
      </w:tr>
      <w:tr>
        <w:tc>
          <w:tcPr>
            <w:tcW w:type="dxa" w:w="2160"/>
          </w:tcPr>
          <w:p>
            <w:r>
              <w:rPr>
                <w:sz w:val="20"/>
              </w:rPr>
              <w:t>OTC (130+ trains)</w:t>
            </w:r>
          </w:p>
        </w:tc>
        <w:tc>
          <w:tcPr>
            <w:tcW w:type="dxa" w:w="2160"/>
          </w:tcPr>
          <w:p>
            <w:r>
              <w:rPr>
                <w:sz w:val="20"/>
              </w:rPr>
              <w:t>4,572</w:t>
            </w:r>
          </w:p>
        </w:tc>
        <w:tc>
          <w:tcPr>
            <w:tcW w:type="dxa" w:w="2160"/>
          </w:tcPr>
          <w:p>
            <w:r>
              <w:rPr>
                <w:sz w:val="20"/>
              </w:rPr>
              <w:t>2</w:t>
            </w:r>
          </w:p>
        </w:tc>
        <w:tc>
          <w:tcPr>
            <w:tcW w:type="dxa" w:w="2160"/>
          </w:tcPr>
          <w:p>
            <w:r>
              <w:rPr>
                <w:sz w:val="20"/>
              </w:rPr>
              <w:t>0.04%</w:t>
            </w:r>
          </w:p>
        </w:tc>
      </w:tr>
      <w:tr>
        <w:tc>
          <w:tcPr>
            <w:tcW w:type="dxa" w:w="2160"/>
          </w:tcPr>
          <w:p>
            <w:r>
              <w:rPr>
                <w:sz w:val="20"/>
              </w:rPr>
              <w:t>Coast Highway</w:t>
            </w:r>
          </w:p>
        </w:tc>
        <w:tc>
          <w:tcPr>
            <w:tcW w:type="dxa" w:w="2160"/>
          </w:tcPr>
          <w:p>
            <w:r>
              <w:rPr>
                <w:sz w:val="20"/>
              </w:rPr>
              <w:t>5,297</w:t>
            </w:r>
          </w:p>
        </w:tc>
        <w:tc>
          <w:tcPr>
            <w:tcW w:type="dxa" w:w="2160"/>
          </w:tcPr>
          <w:p>
            <w:r>
              <w:rPr>
                <w:sz w:val="20"/>
              </w:rPr>
              <w:t>53</w:t>
            </w:r>
          </w:p>
        </w:tc>
        <w:tc>
          <w:tcPr>
            <w:tcW w:type="dxa" w:w="2160"/>
          </w:tcPr>
          <w:p>
            <w:r>
              <w:rPr>
                <w:sz w:val="20"/>
              </w:rPr>
              <w:t>1.0%</w:t>
            </w:r>
          </w:p>
        </w:tc>
      </w:tr>
      <w:tr>
        <w:tc>
          <w:tcPr>
            <w:tcW w:type="dxa" w:w="2160"/>
          </w:tcPr>
          <w:p>
            <w:r>
              <w:rPr>
                <w:sz w:val="20"/>
              </w:rPr>
              <w:t>Crouch Street</w:t>
            </w:r>
          </w:p>
        </w:tc>
        <w:tc>
          <w:tcPr>
            <w:tcW w:type="dxa" w:w="2160"/>
          </w:tcPr>
          <w:p>
            <w:r>
              <w:rPr>
                <w:sz w:val="20"/>
              </w:rPr>
              <w:t>1,334</w:t>
            </w:r>
          </w:p>
        </w:tc>
        <w:tc>
          <w:tcPr>
            <w:tcW w:type="dxa" w:w="2160"/>
          </w:tcPr>
          <w:p>
            <w:r>
              <w:rPr>
                <w:sz w:val="20"/>
              </w:rPr>
              <w:t>511</w:t>
            </w:r>
          </w:p>
        </w:tc>
        <w:tc>
          <w:tcPr>
            <w:tcW w:type="dxa" w:w="2160"/>
          </w:tcPr>
          <w:p>
            <w:r>
              <w:rPr>
                <w:sz w:val="20"/>
              </w:rPr>
              <w:t>38%</w:t>
            </w:r>
          </w:p>
        </w:tc>
      </w:tr>
      <w:tr>
        <w:tc>
          <w:tcPr>
            <w:tcW w:type="dxa" w:w="2160"/>
          </w:tcPr>
          <w:p>
            <w:r>
              <w:rPr>
                <w:sz w:val="20"/>
              </w:rPr>
              <w:t>Civic Center</w:t>
            </w:r>
          </w:p>
        </w:tc>
        <w:tc>
          <w:tcPr>
            <w:tcW w:type="dxa" w:w="2160"/>
          </w:tcPr>
          <w:p>
            <w:r>
              <w:rPr>
                <w:sz w:val="20"/>
              </w:rPr>
              <w:t>974</w:t>
            </w:r>
          </w:p>
        </w:tc>
        <w:tc>
          <w:tcPr>
            <w:tcW w:type="dxa" w:w="2160"/>
          </w:tcPr>
          <w:p>
            <w:r>
              <w:rPr>
                <w:sz w:val="20"/>
              </w:rPr>
              <w:t>89</w:t>
            </w:r>
          </w:p>
        </w:tc>
        <w:tc>
          <w:tcPr>
            <w:tcW w:type="dxa" w:w="2160"/>
          </w:tcPr>
          <w:p>
            <w:r>
              <w:rPr>
                <w:sz w:val="20"/>
              </w:rPr>
              <w:t>9%</w:t>
            </w:r>
          </w:p>
        </w:tc>
      </w:tr>
      <w:tr>
        <w:tc>
          <w:tcPr>
            <w:tcW w:type="dxa" w:w="2160"/>
          </w:tcPr>
          <w:p>
            <w:r>
              <w:rPr>
                <w:sz w:val="20"/>
              </w:rPr>
              <w:t>El Camino Real</w:t>
            </w:r>
          </w:p>
        </w:tc>
        <w:tc>
          <w:tcPr>
            <w:tcW w:type="dxa" w:w="2160"/>
          </w:tcPr>
          <w:p>
            <w:r>
              <w:rPr>
                <w:sz w:val="20"/>
              </w:rPr>
              <w:t>562</w:t>
            </w:r>
          </w:p>
        </w:tc>
        <w:tc>
          <w:tcPr>
            <w:tcW w:type="dxa" w:w="2160"/>
          </w:tcPr>
          <w:p>
            <w:r>
              <w:rPr>
                <w:sz w:val="20"/>
              </w:rPr>
              <w:t>40</w:t>
            </w:r>
          </w:p>
        </w:tc>
        <w:tc>
          <w:tcPr>
            <w:tcW w:type="dxa" w:w="2160"/>
          </w:tcPr>
          <w:p>
            <w:r>
              <w:rPr>
                <w:sz w:val="20"/>
              </w:rPr>
              <w:t>7%</w:t>
            </w:r>
          </w:p>
        </w:tc>
      </w:tr>
      <w:tr>
        <w:tc>
          <w:tcPr>
            <w:tcW w:type="dxa" w:w="2160"/>
          </w:tcPr>
          <w:p>
            <w:r>
              <w:rPr>
                <w:sz w:val="20"/>
              </w:rPr>
              <w:t>Rancho Del Oro</w:t>
            </w:r>
          </w:p>
        </w:tc>
        <w:tc>
          <w:tcPr>
            <w:tcW w:type="dxa" w:w="2160"/>
          </w:tcPr>
          <w:p>
            <w:r>
              <w:rPr>
                <w:sz w:val="20"/>
              </w:rPr>
              <w:t>2,220</w:t>
            </w:r>
          </w:p>
        </w:tc>
        <w:tc>
          <w:tcPr>
            <w:tcW w:type="dxa" w:w="2160"/>
          </w:tcPr>
          <w:p>
            <w:r>
              <w:rPr>
                <w:sz w:val="20"/>
              </w:rPr>
              <w:t>3</w:t>
            </w:r>
          </w:p>
        </w:tc>
        <w:tc>
          <w:tcPr>
            <w:tcW w:type="dxa" w:w="2160"/>
          </w:tcPr>
          <w:p>
            <w:r>
              <w:rPr>
                <w:sz w:val="20"/>
              </w:rPr>
              <w:t>0.1%</w:t>
            </w:r>
          </w:p>
        </w:tc>
      </w:tr>
      <w:tr>
        <w:tc>
          <w:tcPr>
            <w:tcW w:type="dxa" w:w="2160"/>
          </w:tcPr>
          <w:p>
            <w:r>
              <w:rPr>
                <w:sz w:val="20"/>
              </w:rPr>
              <w:t>College Blvd</w:t>
            </w:r>
          </w:p>
        </w:tc>
        <w:tc>
          <w:tcPr>
            <w:tcW w:type="dxa" w:w="2160"/>
          </w:tcPr>
          <w:p>
            <w:r>
              <w:rPr>
                <w:sz w:val="20"/>
              </w:rPr>
              <w:t>1,813</w:t>
            </w:r>
          </w:p>
        </w:tc>
        <w:tc>
          <w:tcPr>
            <w:tcW w:type="dxa" w:w="2160"/>
          </w:tcPr>
          <w:p>
            <w:r>
              <w:rPr>
                <w:sz w:val="20"/>
              </w:rPr>
              <w:t>11</w:t>
            </w:r>
          </w:p>
        </w:tc>
        <w:tc>
          <w:tcPr>
            <w:tcW w:type="dxa" w:w="2160"/>
          </w:tcPr>
          <w:p>
            <w:r>
              <w:rPr>
                <w:sz w:val="20"/>
              </w:rPr>
              <w:t>0.6%</w:t>
            </w:r>
          </w:p>
        </w:tc>
      </w:tr>
      <w:tr>
        <w:tc>
          <w:tcPr>
            <w:tcW w:type="dxa" w:w="2160"/>
          </w:tcPr>
          <w:p>
            <w:r>
              <w:rPr>
                <w:sz w:val="20"/>
              </w:rPr>
              <w:t>Melrose</w:t>
            </w:r>
          </w:p>
        </w:tc>
        <w:tc>
          <w:tcPr>
            <w:tcW w:type="dxa" w:w="2160"/>
          </w:tcPr>
          <w:p>
            <w:r>
              <w:rPr>
                <w:sz w:val="20"/>
              </w:rPr>
              <w:t>2,031</w:t>
            </w:r>
          </w:p>
        </w:tc>
        <w:tc>
          <w:tcPr>
            <w:tcW w:type="dxa" w:w="2160"/>
          </w:tcPr>
          <w:p>
            <w:r>
              <w:rPr>
                <w:sz w:val="20"/>
              </w:rPr>
              <w:t>2</w:t>
            </w:r>
          </w:p>
        </w:tc>
        <w:tc>
          <w:tcPr>
            <w:tcW w:type="dxa" w:w="2160"/>
          </w:tcPr>
          <w:p>
            <w:r>
              <w:rPr>
                <w:sz w:val="20"/>
              </w:rPr>
              <w:t>0.1%</w:t>
            </w:r>
          </w:p>
        </w:tc>
      </w:tr>
      <w:tr>
        <w:tc>
          <w:tcPr>
            <w:tcW w:type="dxa" w:w="2160"/>
          </w:tcPr>
          <w:p>
            <w:r>
              <w:rPr>
                <w:sz w:val="20"/>
              </w:rPr>
              <w:t>TOTAL</w:t>
            </w:r>
          </w:p>
        </w:tc>
        <w:tc>
          <w:tcPr>
            <w:tcW w:type="dxa" w:w="2160"/>
          </w:tcPr>
          <w:p>
            <w:r>
              <w:rPr>
                <w:sz w:val="20"/>
              </w:rPr>
              <w:t>~18,800</w:t>
            </w:r>
          </w:p>
        </w:tc>
        <w:tc>
          <w:tcPr>
            <w:tcW w:type="dxa" w:w="2160"/>
          </w:tcPr>
          <w:p>
            <w:r>
              <w:rPr>
                <w:sz w:val="20"/>
              </w:rPr>
              <w:t>710</w:t>
            </w:r>
          </w:p>
        </w:tc>
        <w:tc>
          <w:tcPr>
            <w:tcW w:type="dxa" w:w="2160"/>
          </w:tcPr>
          <w:p>
            <w:r>
              <w:rPr>
                <w:sz w:val="20"/>
              </w:rPr>
              <w:t>3.8%</w:t>
            </w:r>
          </w:p>
        </w:tc>
      </w:tr>
    </w:tbl>
    <w:p>
      <w:r>
        <w:t>The walking path exemption is not the main tool. It's a sideshow. It covers 3.8% of the SB 79 parcel universe, concentrated in the inland Sprinter corridor. OTC — the city's biggest station at 130+ daily trains with 4,572 parcels in its zone — has 2 parcels in the walking path dataset. Two.</w:t>
      </w:r>
    </w:p>
    <w:p>
      <w:r>
        <w:t>The city claims deferments, rent control reclassification, and habitat exclusions cover the rest. But no parcel-level data for those tools has been produced. The gap between documented exemptions (3.8%) and the city's stated intent ("to the greatest extent possible") is itself the story. Either the other tools have massive holes and SB 79 will apply to thousands of parcels on July 1, or the city has parcel-level exemption data it hasn't disclosed. A PRA request for the deferment parcel list would resolve the question.</w:t>
      </w:r>
    </w:p>
    <w:p>
      <w:r>
        <w:t>Sit with those two datasets for a second. The city's own sidewalk inventory says 71% of road segments near stations have sidewalks. Seven out of ten. And yet their walkability model scored every single parcel as unreachable. 710 tested, 710 failed. People walk to those stations every day. The data says they can't.</w:t>
      </w:r>
    </w:p>
    <w:p>
      <w:r>
        <w:t>This isn't a sidewalk coverage problem. It's a rigged test. Eighteen percent of segments lack sidewalks, scattered across the network in patches. Under the "continuous" standard, one gap anywhere along any possible route kills the entire path. Thirty years of skipping pedestrian infrastructure means there's always a gap somewhere. And now that neglect has a second job: blocking housing.</w:t>
      </w:r>
    </w:p>
    <w:p>
      <w:pPr>
        <w:pStyle w:val="Heading2"/>
      </w:pPr>
      <w:r>
        <w:rPr>
          <w:color w:val="1B3A5C"/>
        </w:rPr>
        <w:t>What 'Walking Path' Actually Means</w:t>
      </w:r>
    </w:p>
    <w:p>
      <w:r>
        <w:t>The statute says "walking path." Not "continuous improved sidewalk." CalHDF's May 20 letter spells out what existing law already establishes:</w:t>
      </w:r>
    </w:p>
    <w:p>
      <w:pPr>
        <w:pStyle w:val="ListBullet"/>
      </w:pPr>
      <w:r>
        <w:t>A walking path is any route traveled on foot. Streets, trails, paseos, pedestrian bridges, stairways. Sidewalks are one option, not a prerequisite.</w:t>
      </w:r>
    </w:p>
    <w:p>
      <w:pPr>
        <w:pStyle w:val="ListBullet"/>
      </w:pPr>
      <w:r>
        <w:t>Vehicle Code Section 21954 already says pedestrians can enter roadways without sidewalks. Yield to vehicles, exercise due care. That's it. Legal right to walk. No concrete required.</w:t>
      </w:r>
    </w:p>
    <w:p>
      <w:pPr>
        <w:pStyle w:val="ListBullet"/>
      </w:pPr>
      <w:r>
        <w:t>AB 2147 (the jaywalking reform bill, 2022) drove this home. The author's statement: "People who need to walk in their neighborhoods should not be penalized for decades of infrastructure neglect and auto-first street design that fails to consider the needs of users who aren't in cars."</w:t>
      </w:r>
    </w:p>
    <w:p>
      <w:r>
        <w:t>The Legislature looked at exactly this scenario, where sidewalks don't exist, and said: people still walk there and that walking counts. Oceanside's ordinance flips it. No concrete, no path, no housing.</w:t>
      </w:r>
    </w:p>
    <w:p>
      <w:pPr>
        <w:pStyle w:val="Heading2"/>
      </w:pPr>
      <w:r>
        <w:rPr>
          <w:color w:val="1B3A5C"/>
        </w:rPr>
        <w:t>Specific Parcels Wrongly Exempted</w:t>
      </w:r>
    </w:p>
    <w:p>
      <w:r>
        <w:t>CalHDF named specific neighborhoods where residents obviously walk to transit but the city's definition kicked them out:</w:t>
      </w:r>
    </w:p>
    <w:p>
      <w:pPr>
        <w:pStyle w:val="ListBullet"/>
      </w:pPr>
      <w:r>
        <w:t>Moon Valley nurseries property west of Rancho Del Oro Station</w:t>
      </w:r>
    </w:p>
    <w:p>
      <w:pPr>
        <w:pStyle w:val="ListBullet"/>
      </w:pPr>
      <w:r>
        <w:t>Parcels immediately south of El Camino Real Station (some abut the station itself)</w:t>
      </w:r>
    </w:p>
    <w:p>
      <w:pPr>
        <w:pStyle w:val="ListBullet"/>
      </w:pPr>
      <w:r>
        <w:t>Skyline Drive and Sonja Court, southeast of El Camino Real Station</w:t>
      </w:r>
    </w:p>
    <w:p>
      <w:pPr>
        <w:pStyle w:val="ListBullet"/>
      </w:pPr>
      <w:r>
        <w:t>Neighborhoods southeast of Crouch Street Station, accessible via Crouch Street, Downs Street, Grandview Street</w:t>
      </w:r>
    </w:p>
    <w:p>
      <w:pPr>
        <w:pStyle w:val="ListBullet"/>
      </w:pPr>
      <w:r>
        <w:t>Neighborhoods northeast of Crouch Street Station, accessible via Crouch Street, Hoover Street</w:t>
      </w:r>
    </w:p>
    <w:p>
      <w:pPr>
        <w:pStyle w:val="ListBullet"/>
      </w:pPr>
      <w:r>
        <w:t>Parcels along S. Nevada Street, north of Coast Highway Station</w:t>
      </w:r>
    </w:p>
    <w:p>
      <w:r>
        <w:t>Some of these properties physically abut station land. You can stand on the parcel and see the platform. Exempted. Because somewhere between point A and point B, a chunk of sidewalk is missing.</w:t>
      </w:r>
    </w:p>
    <w:p>
      <w:pPr>
        <w:pStyle w:val="Heading1"/>
      </w:pPr>
      <w:r>
        <w:rPr>
          <w:color w:val="1B3A5C"/>
        </w:rPr>
        <w:t>Prong 2: Deferment to 2032</w:t>
      </w:r>
    </w:p>
    <w:p>
      <w:r>
        <w:t>Everything the walking path exemption missed gets frozen. SB 79 lets cities defer implementation on qualifying sites until one year after adopting the seventh Housing Element revision (Gov. Code 65912.161(b)(1)). For Oceanside, that deadline stretches to June 15, 2032. Six full years before the law actually touches a single deferred parcel.</w:t>
      </w:r>
    </w:p>
    <w:p>
      <w:r>
        <w:t>Staff recommended deferring every site that fits any category: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Deferment Category</w:t>
            </w:r>
          </w:p>
        </w:tc>
        <w:tc>
          <w:tcPr>
            <w:tcW w:type="dxa" w:w="2880"/>
          </w:tcPr>
          <w:p>
            <w:r>
              <w:rPr>
                <w:b/>
                <w:sz w:val="20"/>
              </w:rPr>
              <w:t>Code Section</w:t>
            </w:r>
          </w:p>
        </w:tc>
        <w:tc>
          <w:tcPr>
            <w:tcW w:type="dxa" w:w="2880"/>
          </w:tcPr>
          <w:p>
            <w:r>
              <w:rPr>
                <w:b/>
                <w:sz w:val="20"/>
              </w:rPr>
              <w:t>What It Covers</w:t>
            </w:r>
          </w:p>
        </w:tc>
      </w:tr>
      <w:tr>
        <w:tc>
          <w:tcPr>
            <w:tcW w:type="dxa" w:w="2880"/>
          </w:tcPr>
          <w:p>
            <w:r>
              <w:rPr>
                <w:sz w:val="20"/>
              </w:rPr>
              <w:t>Existing density at 50%+ of SB 79</w:t>
            </w:r>
          </w:p>
        </w:tc>
        <w:tc>
          <w:tcPr>
            <w:tcW w:type="dxa" w:w="2880"/>
          </w:tcPr>
          <w:p>
            <w:r>
              <w:rPr>
                <w:sz w:val="20"/>
              </w:rPr>
              <w:t>65912.161(b)(1)(A)</w:t>
            </w:r>
          </w:p>
        </w:tc>
        <w:tc>
          <w:tcPr>
            <w:tcW w:type="dxa" w:w="2880"/>
          </w:tcPr>
          <w:p>
            <w:r>
              <w:rPr>
                <w:sz w:val="20"/>
              </w:rPr>
              <w:t>Sites already zoned at half of SB 79 standards. Includes Downtown, Coastal Zone, Oceanside Blvd corridor.</w:t>
            </w:r>
          </w:p>
        </w:tc>
      </w:tr>
      <w:tr>
        <w:tc>
          <w:tcPr>
            <w:tcW w:type="dxa" w:w="2880"/>
          </w:tcPr>
          <w:p>
            <w:r>
              <w:rPr>
                <w:sz w:val="20"/>
              </w:rPr>
              <w:t>Low-resource area, 40%+ aggregate density</w:t>
            </w:r>
          </w:p>
        </w:tc>
        <w:tc>
          <w:tcPr>
            <w:tcW w:type="dxa" w:w="2880"/>
          </w:tcPr>
          <w:p>
            <w:r>
              <w:rPr>
                <w:sz w:val="20"/>
              </w:rPr>
              <w:t>65912.161(b)(1)(B)(ii)</w:t>
            </w:r>
          </w:p>
        </w:tc>
        <w:tc>
          <w:tcPr>
            <w:tcW w:type="dxa" w:w="2880"/>
          </w:tcPr>
          <w:p>
            <w:r>
              <w:rPr>
                <w:sz w:val="20"/>
              </w:rPr>
              <w:t>TOD zones primarily in low-resource areas per CTCAC maps. Only OTC zone meets the 40% threshold.</w:t>
            </w:r>
          </w:p>
        </w:tc>
      </w:tr>
      <w:tr>
        <w:tc>
          <w:tcPr>
            <w:tcW w:type="dxa" w:w="2880"/>
          </w:tcPr>
          <w:p>
            <w:r>
              <w:rPr>
                <w:sz w:val="20"/>
              </w:rPr>
              <w:t>Historic resources</w:t>
            </w:r>
          </w:p>
        </w:tc>
        <w:tc>
          <w:tcPr>
            <w:tcW w:type="dxa" w:w="2880"/>
          </w:tcPr>
          <w:p>
            <w:r>
              <w:rPr>
                <w:sz w:val="20"/>
              </w:rPr>
              <w:t>65912.161(b)(1)(F)</w:t>
            </w:r>
          </w:p>
        </w:tc>
        <w:tc>
          <w:tcPr>
            <w:tcW w:type="dxa" w:w="2880"/>
          </w:tcPr>
          <w:p>
            <w:r>
              <w:rPr>
                <w:sz w:val="20"/>
              </w:rPr>
              <w:t>7 properties in Townsite Neighborhood Planning Area on local register.</w:t>
            </w:r>
          </w:p>
        </w:tc>
      </w:tr>
      <w:tr>
        <w:tc>
          <w:tcPr>
            <w:tcW w:type="dxa" w:w="2880"/>
          </w:tcPr>
          <w:p>
            <w:r>
              <w:rPr>
                <w:sz w:val="20"/>
              </w:rPr>
              <w:t>Fire hazard / sea level rise</w:t>
            </w:r>
          </w:p>
        </w:tc>
        <w:tc>
          <w:tcPr>
            <w:tcW w:type="dxa" w:w="2880"/>
          </w:tcPr>
          <w:p>
            <w:r>
              <w:rPr>
                <w:sz w:val="20"/>
              </w:rPr>
              <w:t>65912.161(b)(1)(D)-(E)</w:t>
            </w:r>
          </w:p>
        </w:tc>
        <w:tc>
          <w:tcPr>
            <w:tcW w:type="dxa" w:w="2880"/>
          </w:tcPr>
          <w:p>
            <w:r>
              <w:rPr>
                <w:sz w:val="20"/>
              </w:rPr>
              <w:t>None found as of April 2026, but ordinance reserves authority to add them.</w:t>
            </w:r>
          </w:p>
        </w:tc>
      </w:tr>
    </w:tbl>
    <w:p>
      <w:r>
        <w:t>Staff told council to layer both tools on every eligible site. Walking path exemption plus deferment, stacked. If one gets struck down, the other still blocks. Belt and suspenders.</w:t>
      </w:r>
    </w:p>
    <w:p>
      <w:pPr>
        <w:pStyle w:val="Heading2"/>
      </w:pPr>
      <w:r>
        <w:rPr>
          <w:color w:val="1B3A5C"/>
        </w:rPr>
        <w:t>The Low-Resource Exemption Falls Apart at Tier 1</w:t>
      </w:r>
    </w:p>
    <w:p>
      <w:r>
        <w:t>This is where the train count fraud (see companion document on OTC misclassification) makes the deferment strategy collapse. The low-resource deferment under 65912.161(b)(1)(B)(ii) requires local zoning to "cumulatively allow for at least 40 percent of the aggregate density" under SB 79 for that TOD zone.</w:t>
      </w:r>
    </w:p>
    <w:p>
      <w:r>
        <w:t>Around OTC, current zoning allows 7 to 43 du/acre. Tier 1 stations get 100-120 du/acre within a quarter mile. Forty percent of 120 is 48. Oceanside maxes out at 43. Falls short. The arithmetic only clears the bar if you pretend OTC is Tier 2 (80-100 du/acre), where 43 squeaks past at 43-54% of max. Fix the tier and the entire low-resource deferment for the OTC zone vanishes.</w:t>
      </w:r>
    </w:p>
    <w:p>
      <w:pPr>
        <w:pStyle w:val="Heading1"/>
      </w:pPr>
      <w:r>
        <w:rPr>
          <w:color w:val="1B3A5C"/>
        </w:rPr>
        <w:t>Prong 3: The Alternative Plan (Delay by Design)</w:t>
      </w:r>
    </w:p>
    <w:p>
      <w:r>
        <w:t>SB 79 offers cities a legitimate planning tool: a TOD Alternative Plan (65912.161(a)) that redistributes capacity across sites. Concentrate density on commercial corridors, pull it back near single-family streets, keep the total unchanged. Real planning for real tradeoffs. Oceanside says it's working on one. Won't be ready by July 1.</w:t>
      </w:r>
    </w:p>
    <w:p>
      <w:r>
        <w:t>Which is the whole point. Staff told council the plan "will require additional staff time" and projected completion "by late 2026 or early 2027." Meanwhile the deferment ordinance locks everything down through 2032. The alt plan provides the justification for a six-year freeze, whether it ever gets adopted or not.</w:t>
      </w:r>
    </w:p>
    <w:p>
      <w:r>
        <w:t>If the city finishes the plan, it can selectively unfreeze individual sites. Or it can leave them all frozen. The ordinance preserves that choice. Maximum flexibility, minimum housing.</w:t>
      </w:r>
    </w:p>
    <w:p>
      <w:pPr>
        <w:pStyle w:val="Heading1"/>
      </w:pPr>
      <w:r>
        <w:rPr>
          <w:color w:val="1B3A5C"/>
        </w:rPr>
        <w:t>The Rent Control Overreach</w:t>
      </w:r>
    </w:p>
    <w:p>
      <w:r>
        <w:t>SB 79 draws a line on demolition: you can't tear down more than two units under rent or price control occupied in the past seven years (65912.157(h)(1)). Sensible protection for existing tenants. Nobody disputes the intent.</w:t>
      </w:r>
    </w:p>
    <w:p>
      <w:r>
        <w:t>But Oceanside stretched that protection to snap three categories it was never meant to cover:</w:t>
      </w:r>
    </w:p>
    <w:p>
      <w:pPr>
        <w:pStyle w:val="ListBullet"/>
      </w:pPr>
      <w:r>
        <w:rPr>
          <w:b/>
        </w:rPr>
        <w:t xml:space="preserve">Good Cause eviction: </w:t>
      </w:r>
      <w:r>
        <w:t>Sites subject to the Tenant Protection Act of 2019 (Civ. Code 1947.12). This is Good Cause eviction protection, not rent control. The TPA is in Division 3, Part 4, Title 5, Chapter 2 of the Civil Code. Rent control is in Chapter 2.7. Different chapters, different legal regimes. Costa-Hawkins Section 1954.52 explicitly allows property owners to set initial rents on post-1995 buildings. The Supreme Court held in Briggs v. Eden Council (1999) that different statutory terms carry different meanings.</w:t>
      </w:r>
    </w:p>
    <w:p>
      <w:pPr>
        <w:pStyle w:val="ListBullet"/>
      </w:pPr>
      <w:r>
        <w:rPr>
          <w:b/>
        </w:rPr>
        <w:t xml:space="preserve">Mobile home parks: </w:t>
      </w:r>
      <w:r>
        <w:t>Mobile home parks subject to Chapter 16B of the Oceanside City Code. These are local rent ceiling adjustments, but the city swept them into SB 79's "price control" exclusion without distinguishing which sites had active tenants in the past seven years.</w:t>
      </w:r>
    </w:p>
    <w:p>
      <w:pPr>
        <w:pStyle w:val="ListBullet"/>
      </w:pPr>
      <w:r>
        <w:rPr>
          <w:b/>
        </w:rPr>
        <w:t xml:space="preserve">Deed-restricted units: </w:t>
      </w:r>
      <w:r>
        <w:t>Sites with deed-restricted affordable housing. These units are restricted via subsidy, not via police power. The statute covers rent or price control "through a public entity's valid exercise of its police powers." Deed restrictions through housing programs are not police power actions.</w:t>
      </w:r>
    </w:p>
    <w:p>
      <w:r>
        <w:t>CalHDF's assessment: "impermissibly broad." The city grabbed tenant protection language meant to prevent displacement and repurposed it as a development ban on land the Legislature never intended to freeze.</w:t>
      </w:r>
    </w:p>
    <w:p>
      <w:pPr>
        <w:pStyle w:val="Heading1"/>
      </w:pPr>
      <w:r>
        <w:rPr>
          <w:color w:val="1B3A5C"/>
        </w:rPr>
        <w:t>The Habitat and Wetland Exclusions</w:t>
      </w:r>
    </w:p>
    <w:p>
      <w:r>
        <w:t>Staff mapped sites within habitat preserves or 100 feet of wetlands per General Plan Policy 5-12, labeled them "effectively undevelopable," and excluded them from SB 79 coverage.</w:t>
      </w:r>
    </w:p>
    <w:p>
      <w:r>
        <w:t>Problem: SB 79 has no habitat exception. Zero. The state law lists its own environmental carve-outs (fire hazard zones, sea level rise). Policy 5-12 is a local document. The California Constitution settles which one wins. Article XI, Section 7: local governments "cannot choose to forgo application of land use policies imposed by the Legislature." Ailanto Properties, 142 Cal.App.4th at 595. State law eats local policy for breakfast.</w:t>
      </w:r>
    </w:p>
    <w:p>
      <w:r>
        <w:t>CalHDF put a finer point on it: the ordinance "states in the staff report and maps, in effect, that state land use laws (i.e. SB 79) do not apply to certain areas of the City based on local ordinance and the local general plan." That's preemption in reverse. It doesn't work.</w:t>
      </w:r>
    </w:p>
    <w:p>
      <w:pPr>
        <w:pStyle w:val="Heading1"/>
      </w:pPr>
      <w:r>
        <w:rPr>
          <w:color w:val="1B3A5C"/>
        </w:rPr>
        <w:t>The Procedural Defect</w:t>
      </w:r>
    </w:p>
    <w:p>
      <w:r>
        <w:t>Zoning ordinances follow a two-step process (Gov. Code 65854 et seq.). Planning Commission holds a hearing, votes, issues a recommendation. City Council notices its own hearing after that recommendation is published. After. Not before.</w:t>
      </w:r>
    </w:p>
    <w:p>
      <w:r>
        <w:t>Oceanside noticed the council hearing before the Planning Commission even voted on May 18. Two days later, the recommendation still wasn't posted. The vote field in the ordinance text was blank. Environmental Defense Project v. County of Sierra (2008, 158 Cal.App.4th 877): notice has to come after the commission acts. The purpose is to give the public a chance to respond to the actual recommendation, not staff's prediction of what it might be. The rushed timeline "deprived the public of the opportunity to respond" (Gov. Code 65033).</w:t>
      </w:r>
    </w:p>
    <w:p>
      <w:r>
        <w:t>This alone could void the ordinance. A court wouldn't need to reach any of the substantive arguments.</w:t>
      </w:r>
    </w:p>
    <w:p>
      <w:pPr>
        <w:pStyle w:val="Heading2"/>
      </w:pPr>
      <w:r>
        <w:rPr>
          <w:color w:val="1B3A5C"/>
        </w:rPr>
        <w:t>The Exhibit Mismatch</w:t>
      </w:r>
    </w:p>
    <w:p>
      <w:r>
        <w:t>Smaller defect, same root cause. The ordinance cites Exhibits A through F (lettered). The staff report attaches documents numbered 1 through 12. CalHDF caught it: "the ordinance refers to maps (e.g. Exhibits A, B, D, E, and F). However, the attachments to the staff report are numbered, not lettered, and it is unclear which maps the ordinance is referring to."</w:t>
      </w:r>
    </w:p>
    <w:p>
      <w:r>
        <w:t>When your ordinance can't match its own maps to its own attachments, you wrote it in a hurry. SB 79 hits July 1. Staff was racing the clock.</w:t>
      </w:r>
    </w:p>
    <w:p>
      <w:pPr>
        <w:pStyle w:val="Heading1"/>
      </w:pPr>
      <w:r>
        <w:rPr>
          <w:color w:val="1B3A5C"/>
        </w:rPr>
        <w:t>What This Adds Up To</w:t>
      </w:r>
    </w:p>
    <w:p>
      <w:r>
        <w:t>The city deployed multiple tools against ~18,800 SB 79 eligible parcels. Here's what we can verify and what we can't:</w:t>
      </w:r>
    </w:p>
    <w:p>
      <w:pPr>
        <w:pStyle w:val="ListBullet"/>
      </w:pPr>
      <w:r>
        <w:rPr>
          <w:b/>
        </w:rPr>
        <w:t xml:space="preserve">Verified: </w:t>
      </w:r>
      <w:r>
        <w:t>Walking path exemptions: 710 parcels tested, 710 failed (100% rate). But that's 3.8% of the total SB 79 universe. Concentrated around Crouch Street and Civic Center. The definition is fabricated — the city's own sidewalk data contradicts it — but even if it holds, it barely dents the total.</w:t>
      </w:r>
    </w:p>
    <w:p>
      <w:pPr>
        <w:pStyle w:val="ListBullet"/>
      </w:pPr>
      <w:r>
        <w:rPr>
          <w:b/>
        </w:rPr>
        <w:t xml:space="preserve">Claimed but unverified: </w:t>
      </w:r>
      <w:r>
        <w:t>Deferments are claimed for parcels near all stations through 2032. The qualifying categories (existing density, low-resource, historic, fire, sea level rise) have specific requirements. No parcel-level data has been produced showing which parcels actually qualify. The low-resource exemption fails at Tier 1 densities around OTC.</w:t>
      </w:r>
    </w:p>
    <w:p>
      <w:pPr>
        <w:pStyle w:val="ListBullet"/>
      </w:pPr>
      <w:r>
        <w:rPr>
          <w:b/>
        </w:rPr>
        <w:t xml:space="preserve">Claimed but unverified: </w:t>
      </w:r>
      <w:r>
        <w:t>Good Cause eviction and habitat exclusions cover additional parcels, but Good Cause only applies to existing rental housing 15+ years old, and habitat is limited to parcels near mapped wetlands and preserves.</w:t>
      </w:r>
    </w:p>
    <w:p>
      <w:pPr>
        <w:pStyle w:val="ListBullet"/>
      </w:pPr>
      <w:r>
        <w:rPr>
          <w:b/>
        </w:rPr>
        <w:t xml:space="preserve">Future: </w:t>
      </w:r>
      <w:r>
        <w:t>The Alternative Plan is not ready and may never arrive. Staff projected late 2026 or early 2027. It provides justification for the deferment freeze whether it's ever adopted or not.</w:t>
      </w:r>
    </w:p>
    <w:p>
      <w:pPr>
        <w:pStyle w:val="ListBullet"/>
      </w:pPr>
      <w:r>
        <w:rPr>
          <w:b/>
        </w:rPr>
        <w:t xml:space="preserve">Independently fatal: </w:t>
      </w:r>
      <w:r>
        <w:t>A procedural defect — the council hearing was noticed before the Planning Commission voted — could void the whole ordinance independently.</w:t>
      </w:r>
    </w:p>
    <w:p>
      <w:r>
        <w:t>Staff said the quiet part aloud. Reduce SB 79's impact "to the greatest extent possible." Not "implement thoughtfully." Not "balance competing interests." Minimize. Everything. Period.</w:t>
      </w:r>
    </w:p>
    <w:p>
      <w:pPr>
        <w:pStyle w:val="Heading1"/>
      </w:pPr>
      <w:r>
        <w:rPr>
          <w:color w:val="1B3A5C"/>
        </w:rPr>
        <w:t>The HCD Clock</w:t>
      </w:r>
    </w:p>
    <w:p>
      <w:r>
        <w:t>HCD received the draft ordinance May 19, 2026. Confirmed receipt May 26. After adoption, the city gets 60 days to submit the final version. If HCD objects, two options: amend the ordinance, or adopt a resolution arguing it already complies. If the city stonewalls, HCD kicks it to the Attorney General.</w:t>
      </w:r>
    </w:p>
    <w:p>
      <w:r>
        <w:t>CalHDF and Californians for Homeownership aren't sitting around waiting for the administrative process to grind through. Their May 20 letter already documents six independent legal defects. The litigation track started running before the council even voted.</w:t>
      </w:r>
    </w:p>
    <w:p>
      <w:pPr>
        <w:ind w:left="567" w:right="567"/>
      </w:pPr>
      <w:r>
        <w:rPr>
          <w:i/>
          <w:color w:val="8B0000"/>
        </w:rPr>
        <w:t>~18,800 parcels in Oceanside's SB 79 zones. The walking path exemption — the only tool with verifiable parcel data — covers 710 of them. 3.8%. The city says deferments and other tools cover the rest, but has produced no data proving it. Staff said the quiet part aloud: reduce impact "to the greatest extent possible." Whether they succeeded depends on data they haven't disclosed. A PRA request for the deferment parcel list is the next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