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6"/>
        </w:rPr>
        <w:t>What Happened to Other Cities That Fought</w:t>
      </w:r>
    </w:p>
    <w:p>
      <w:pPr>
        <w:jc w:val="center"/>
      </w:pPr>
      <w:r>
        <w:rPr>
          <w:i/>
          <w:color w:val="666666"/>
          <w:sz w:val="22"/>
        </w:rPr>
        <w:t>Comparable Outcomes for Context | June 2026</w:t>
      </w:r>
    </w:p>
    <w:p>
      <w:pPr>
        <w:pStyle w:val="Heading1"/>
      </w:pPr>
      <w:r>
        <w:rPr>
          <w:color w:val="1B3A5C"/>
        </w:rPr>
        <w:t>The Universal Pattern</w:t>
      </w:r>
    </w:p>
    <w:p>
      <w:r>
        <w:t>Every California city that has fought state housing law has followed the same arc:</w:t>
      </w:r>
    </w:p>
    <w:p>
      <w:pPr>
        <w:ind w:left="567" w:right="567"/>
      </w:pPr>
      <w:r>
        <w:rPr>
          <w:i/>
          <w:color w:val="8B0000"/>
        </w:rPr>
        <w:t>Resistance → Litigation → Escalating costs → Political fracture → Capitulation</w:t>
      </w:r>
    </w:p>
    <w:p>
      <w:r>
        <w:t>No city has won. Not one. The question is never whether the city complies. It's how much money it burns before complying.</w:t>
      </w:r>
    </w:p>
    <w:p>
      <w:pPr>
        <w:pStyle w:val="Heading1"/>
      </w:pPr>
      <w:r>
        <w:rPr>
          <w:color w:val="1B3A5C"/>
        </w:rPr>
        <w:t>City-by-City</w:t>
      </w:r>
    </w:p>
    <w:p>
      <w:pPr>
        <w:pStyle w:val="Heading2"/>
      </w:pPr>
      <w:r>
        <w:rPr>
          <w:color w:val="1B3A5C"/>
        </w:rPr>
        <w:t>Huntington Beach: Open Defiance</w:t>
      </w:r>
    </w:p>
    <w:p>
      <w:r>
        <w:rPr>
          <w:b/>
        </w:rPr>
        <w:t xml:space="preserve">Strategy: </w:t>
      </w:r>
      <w:r>
        <w:t>Refused Housing Element update. Sued the state. Passed ballot measure overriding state law.</w:t>
      </w:r>
    </w:p>
    <w:p>
      <w:r>
        <w:rPr>
          <w:b/>
        </w:rPr>
        <w:t xml:space="preserve">Outcome: </w:t>
      </w:r>
      <w:r>
        <w:t>4+ years of litigation, $10–$15M+ spent. $50K/month fines escalating. Still fighting. Court threatened compliance receiver.</w:t>
      </w:r>
    </w:p>
    <w:p>
      <w:r>
        <w:rPr>
          <w:b/>
        </w:rPr>
        <w:t xml:space="preserve">Lesson for Oceanside: </w:t>
      </w:r>
      <w:r>
        <w:t>The $50K/month fine structure. If Oceanside triggers AG enforcement, the same framework applies.</w:t>
      </w:r>
    </w:p>
    <w:p/>
    <w:p>
      <w:pPr>
        <w:pStyle w:val="Heading2"/>
      </w:pPr>
      <w:r>
        <w:rPr>
          <w:color w:val="1B3A5C"/>
        </w:rPr>
        <w:t>La Cañada Flintridge: Builder's Remedy Denial</w:t>
      </w:r>
    </w:p>
    <w:p>
      <w:r>
        <w:rPr>
          <w:b/>
        </w:rPr>
        <w:t xml:space="preserve">Strategy: </w:t>
      </w:r>
      <w:r>
        <w:t>Denied a Builder's Remedy project. Fought in court. Appealed.</w:t>
      </w:r>
    </w:p>
    <w:p>
      <w:r>
        <w:rPr>
          <w:b/>
        </w:rPr>
        <w:t xml:space="preserve">Outcome: </w:t>
      </w:r>
      <w:r>
        <w:t>~$3.3M total cost. City dropped appeal after court ordered a $14M appeal bond. Couldn't afford it.</w:t>
      </w:r>
    </w:p>
    <w:p>
      <w:r>
        <w:rPr>
          <w:b/>
        </w:rPr>
        <w:t xml:space="preserve">Lesson for Oceanside: </w:t>
      </w:r>
      <w:r>
        <w:t>The appeal bond mechanism. If Oceanside loses at trial and appeals, a bond potentially exceeding the project's value will be required. A city with a slim surplus can't post $14M bonds.</w:t>
      </w:r>
    </w:p>
    <w:p/>
    <w:p>
      <w:pPr>
        <w:pStyle w:val="Heading2"/>
      </w:pPr>
      <w:r>
        <w:rPr>
          <w:color w:val="1B3A5C"/>
        </w:rPr>
        <w:t>Encinitas: Voter Override (25 years)</w:t>
      </w:r>
    </w:p>
    <w:p>
      <w:r>
        <w:rPr>
          <w:b/>
        </w:rPr>
        <w:t xml:space="preserve">Strategy: </w:t>
      </w:r>
      <w:r>
        <w:t>Voters rejected Housing Element three times. City argued ballot measure overrode state law.</w:t>
      </w:r>
    </w:p>
    <w:p>
      <w:r>
        <w:rPr>
          <w:b/>
        </w:rPr>
        <w:t xml:space="preserve">Outcome: </w:t>
      </w:r>
      <w:r>
        <w:t>25 years without a compliant Housing Element. Judge finally ordered compliance. Every dollar spent on resistance was wasted.</w:t>
      </w:r>
    </w:p>
    <w:p>
      <w:r>
        <w:rPr>
          <w:b/>
        </w:rPr>
        <w:t xml:space="preserve">Lesson for Oceanside: </w:t>
      </w:r>
      <w:r>
        <w:t>The endurance cost. Encinitas fought for a quarter century and lost everything. Oceanside's strategy is more sophisticated but the endgame is identical.</w:t>
      </w:r>
    </w:p>
    <w:p/>
    <w:p>
      <w:pPr>
        <w:pStyle w:val="Heading2"/>
      </w:pPr>
      <w:r>
        <w:rPr>
          <w:color w:val="1B3A5C"/>
        </w:rPr>
        <w:t>Woodside: Mountain Lion Habitat</w:t>
      </w:r>
    </w:p>
    <w:p>
      <w:r>
        <w:rPr>
          <w:b/>
        </w:rPr>
        <w:t xml:space="preserve">Strategy: </w:t>
      </w:r>
      <w:r>
        <w:t>Declared entire town a mountain lion habitat to avoid SB 9 duplexes.</w:t>
      </w:r>
    </w:p>
    <w:p>
      <w:r>
        <w:rPr>
          <w:b/>
        </w:rPr>
        <w:t xml:space="preserve">Outcome: </w:t>
      </w:r>
      <w:r>
        <w:t>National humiliation. Reversed in 2 weeks.</w:t>
      </w:r>
    </w:p>
    <w:p>
      <w:r>
        <w:rPr>
          <w:b/>
        </w:rPr>
        <w:t xml:space="preserve">Lesson for Oceanside: </w:t>
      </w:r>
      <w:r>
        <w:t>Oceanside's Tier misclassification (130 &gt; 72) is this generation's mountain lion claim. An arithmetic falsehood dressed as a planning judgment. Difference: Oceanside is doubling down.</w:t>
      </w:r>
    </w:p>
    <w:p/>
    <w:p>
      <w:pPr>
        <w:pStyle w:val="Heading2"/>
      </w:pPr>
      <w:r>
        <w:rPr>
          <w:color w:val="1B3A5C"/>
        </w:rPr>
        <w:t>Redondo Beach: Overlay Evasion</w:t>
      </w:r>
    </w:p>
    <w:p>
      <w:r>
        <w:rPr>
          <w:b/>
        </w:rPr>
        <w:t xml:space="preserve">Strategy: </w:t>
      </w:r>
      <w:r>
        <w:t>Used housing overlay zones on commercial land to claim RHNA compliance without actually rezoning.</w:t>
      </w:r>
    </w:p>
    <w:p>
      <w:r>
        <w:rPr>
          <w:b/>
        </w:rPr>
        <w:t xml:space="preserve">Outcome: </w:t>
      </w:r>
      <w:r>
        <w:t>Court of Appeal invalidated Housing Element. Supreme Court denied review. Builder's Remedy reactivated.</w:t>
      </w:r>
    </w:p>
    <w:p>
      <w:r>
        <w:rPr>
          <w:b/>
        </w:rPr>
        <w:t xml:space="preserve">Lesson for Oceanside: </w:t>
      </w:r>
      <w:r>
        <w:t>Paper compliance doesn't work. Oceanside's SB 79 "phasing ordinance" is the same play.</w:t>
      </w:r>
    </w:p>
    <w:p/>
    <w:p>
      <w:pPr>
        <w:pStyle w:val="Heading1"/>
      </w:pPr>
      <w:r>
        <w:rPr>
          <w:color w:val="1B3A5C"/>
        </w:rPr>
        <w:t>Projected Oceanside Outcome</w:t>
      </w:r>
    </w:p>
    <w:p>
      <w:r>
        <w:t>Most similar to Encinitas. Sophisticated, coastal, multi-year resistance that eventually collapses under court order. Estimated 2–4 years. Key difference: Oceanside has a Tier 1 transit station making the legal case far simpler (130 &gt; 72) than Encinitas's complex RHNA allocation fights.</w:t>
      </w:r>
    </w:p>
    <w:p>
      <w:pPr>
        <w:pStyle w:val="Heading1"/>
      </w:pPr>
      <w:r>
        <w:rPr>
          <w:color w:val="1B3A5C"/>
        </w:rPr>
        <w:t>Probability Scenarios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Probability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Timeline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Early capitulation (new majority or AG panic)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Late 2027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$3M–$8M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Fight-then-fold (trial loss + rising fines)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Mid-2028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$15M–$45M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Full resistance (through RHNA deadline)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2029–2030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$80M–$249M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Coastal Act blocks SB 79 (pyrrhic victory)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2028–2029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$10M–$20M</w:t>
            </w:r>
          </w:p>
        </w:tc>
      </w:tr>
    </w:tbl>
    <w:p>
      <w:r>
        <w:t>Even in the 5% scenario where the Coastal Act blocks SB 79, the legislature passes a trailer bill within 12 months. The city would spend $20M to buy one year of obstruction.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