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8E767" w14:textId="375ECD90" w:rsidR="0081663C" w:rsidRPr="00837A48" w:rsidRDefault="00837A48" w:rsidP="00837A48">
      <w:pPr>
        <w:jc w:val="center"/>
        <w:rPr>
          <w:rFonts w:ascii="Times New Roman" w:hAnsi="Times New Roman" w:cs="Times New Roman"/>
          <w:b/>
          <w:bCs/>
          <w:sz w:val="36"/>
          <w:szCs w:val="36"/>
        </w:rPr>
      </w:pPr>
      <w:r w:rsidRPr="00837A48">
        <w:rPr>
          <w:rFonts w:ascii="Times New Roman" w:hAnsi="Times New Roman" w:cs="Times New Roman"/>
          <w:b/>
          <w:bCs/>
          <w:sz w:val="36"/>
          <w:szCs w:val="36"/>
        </w:rPr>
        <w:t>NEUROFEEDBACK TRAINING RECOMMENDATIONS BASED ON EEG ANALYSIS</w:t>
      </w:r>
    </w:p>
    <w:p w14:paraId="780EC841" w14:textId="77777777" w:rsidR="00837A48" w:rsidRDefault="00837A48" w:rsidP="00837A48">
      <w:pPr>
        <w:pStyle w:val="paragraph"/>
        <w:spacing w:before="0" w:beforeAutospacing="0" w:after="0" w:afterAutospacing="0" w:line="480" w:lineRule="auto"/>
        <w:jc w:val="center"/>
        <w:textAlignment w:val="baseline"/>
        <w:rPr>
          <w:color w:val="333333"/>
          <w:shd w:val="clear" w:color="auto" w:fill="FFFFFF"/>
        </w:rPr>
      </w:pPr>
    </w:p>
    <w:p w14:paraId="55148EDC" w14:textId="665F7B6C" w:rsidR="00837A48" w:rsidRDefault="00837A48" w:rsidP="00837A48">
      <w:pPr>
        <w:pStyle w:val="paragraph"/>
        <w:spacing w:before="0" w:beforeAutospacing="0" w:after="0" w:afterAutospacing="0" w:line="480" w:lineRule="auto"/>
        <w:jc w:val="center"/>
        <w:textAlignment w:val="baseline"/>
        <w:rPr>
          <w:color w:val="0F4761"/>
          <w:lang w:val="en-US"/>
        </w:rPr>
      </w:pPr>
      <w:r>
        <w:rPr>
          <w:color w:val="333333"/>
          <w:shd w:val="clear" w:color="auto" w:fill="FFFFFF"/>
        </w:rPr>
        <w:t>CAMBRIAN COLLEGE</w:t>
      </w:r>
    </w:p>
    <w:p w14:paraId="10B96FC8" w14:textId="77777777" w:rsidR="00837A48" w:rsidRDefault="00837A48" w:rsidP="00837A48">
      <w:pPr>
        <w:pStyle w:val="NormalWeb"/>
        <w:spacing w:line="276" w:lineRule="auto"/>
      </w:pPr>
    </w:p>
    <w:p w14:paraId="350207AD" w14:textId="77777777" w:rsidR="00837A48" w:rsidRDefault="00837A48" w:rsidP="00837A48">
      <w:pPr>
        <w:pStyle w:val="NormalWeb"/>
        <w:spacing w:line="276" w:lineRule="auto"/>
      </w:pPr>
    </w:p>
    <w:p w14:paraId="29ED3E48" w14:textId="77777777" w:rsidR="00837A48" w:rsidRDefault="00837A48" w:rsidP="00837A48">
      <w:pPr>
        <w:pStyle w:val="NormalWeb"/>
        <w:spacing w:line="276" w:lineRule="auto"/>
      </w:pPr>
    </w:p>
    <w:p w14:paraId="0D7B201C" w14:textId="77777777" w:rsidR="00837A48" w:rsidRDefault="00837A48" w:rsidP="00837A48">
      <w:pPr>
        <w:spacing w:before="100" w:beforeAutospacing="1" w:after="100" w:afterAutospacing="1"/>
        <w:jc w:val="center"/>
        <w:rPr>
          <w:rFonts w:ascii="Times New Roman" w:hAnsi="Times New Roman" w:cs="Times New Roman"/>
        </w:rPr>
      </w:pPr>
      <w:r>
        <w:rPr>
          <w:rFonts w:ascii="Times New Roman" w:hAnsi="Times New Roman" w:cs="Times New Roman"/>
        </w:rPr>
        <w:t>PREPARED BY</w:t>
      </w:r>
    </w:p>
    <w:p w14:paraId="478B7E61" w14:textId="77777777" w:rsidR="00837A48" w:rsidRPr="00AD77FC" w:rsidRDefault="00837A48" w:rsidP="00837A48">
      <w:pPr>
        <w:pStyle w:val="paragraph"/>
        <w:spacing w:before="0" w:beforeAutospacing="0" w:after="0" w:afterAutospacing="0" w:line="480" w:lineRule="auto"/>
        <w:jc w:val="center"/>
        <w:textAlignment w:val="baseline"/>
        <w:rPr>
          <w:color w:val="333333"/>
          <w:shd w:val="clear" w:color="auto" w:fill="FFFFFF"/>
        </w:rPr>
      </w:pPr>
      <w:r>
        <w:t xml:space="preserve">AJAYI AISHAT </w:t>
      </w:r>
      <w:r>
        <w:rPr>
          <w:color w:val="333333"/>
          <w:shd w:val="clear" w:color="auto" w:fill="FFFFFF"/>
        </w:rPr>
        <w:t>A00276342</w:t>
      </w:r>
      <w:r>
        <w:t xml:space="preserve"> </w:t>
      </w:r>
    </w:p>
    <w:p w14:paraId="3037EAD1" w14:textId="77777777" w:rsidR="00837A48" w:rsidRDefault="00837A48" w:rsidP="00837A48">
      <w:pPr>
        <w:pStyle w:val="NormalWeb"/>
        <w:spacing w:line="276" w:lineRule="auto"/>
        <w:rPr>
          <w:rStyle w:val="Strong"/>
          <w:rFonts w:eastAsiaTheme="majorEastAsia"/>
        </w:rPr>
      </w:pPr>
    </w:p>
    <w:p w14:paraId="6C38242C" w14:textId="77777777" w:rsidR="00837A48" w:rsidRDefault="00837A48" w:rsidP="00837A48">
      <w:pPr>
        <w:pStyle w:val="NormalWeb"/>
        <w:spacing w:line="276" w:lineRule="auto"/>
        <w:rPr>
          <w:rStyle w:val="Strong"/>
          <w:rFonts w:eastAsiaTheme="majorEastAsia"/>
        </w:rPr>
      </w:pPr>
    </w:p>
    <w:p w14:paraId="40D09A6E" w14:textId="77777777" w:rsidR="00837A48" w:rsidRDefault="00837A48" w:rsidP="00837A48">
      <w:pPr>
        <w:pStyle w:val="NormalWeb"/>
        <w:spacing w:line="276" w:lineRule="auto"/>
        <w:rPr>
          <w:rStyle w:val="Strong"/>
          <w:rFonts w:eastAsiaTheme="majorEastAsia"/>
        </w:rPr>
      </w:pPr>
    </w:p>
    <w:p w14:paraId="1DC13DE9" w14:textId="77777777" w:rsidR="00837A48" w:rsidRDefault="00837A48" w:rsidP="00837A48">
      <w:pPr>
        <w:pStyle w:val="NormalWeb"/>
        <w:spacing w:line="276" w:lineRule="auto"/>
        <w:rPr>
          <w:rStyle w:val="Strong"/>
          <w:rFonts w:eastAsiaTheme="majorEastAsia"/>
        </w:rPr>
      </w:pPr>
    </w:p>
    <w:p w14:paraId="1970E638" w14:textId="77777777" w:rsidR="00837A48" w:rsidRDefault="00837A48" w:rsidP="00837A48">
      <w:pPr>
        <w:pStyle w:val="NormalWeb"/>
        <w:spacing w:line="276" w:lineRule="auto"/>
        <w:rPr>
          <w:rStyle w:val="Strong"/>
          <w:rFonts w:eastAsiaTheme="majorEastAsia"/>
        </w:rPr>
      </w:pPr>
    </w:p>
    <w:p w14:paraId="1B3CAC44" w14:textId="77777777" w:rsidR="00837A48" w:rsidRDefault="00837A48" w:rsidP="00837A48">
      <w:pPr>
        <w:pStyle w:val="NormalWeb"/>
        <w:spacing w:line="276" w:lineRule="auto"/>
        <w:rPr>
          <w:rStyle w:val="Strong"/>
          <w:rFonts w:eastAsiaTheme="majorEastAsia"/>
        </w:rPr>
      </w:pPr>
    </w:p>
    <w:p w14:paraId="01A96FD8" w14:textId="77777777" w:rsidR="00837A48" w:rsidRDefault="00837A48" w:rsidP="00837A48">
      <w:pPr>
        <w:pStyle w:val="NormalWeb"/>
        <w:spacing w:line="276" w:lineRule="auto"/>
        <w:jc w:val="center"/>
        <w:rPr>
          <w:color w:val="0F4761"/>
          <w:lang w:val="en-US"/>
        </w:rPr>
      </w:pPr>
      <w:r>
        <w:rPr>
          <w:rStyle w:val="Strong"/>
          <w:rFonts w:eastAsiaTheme="majorEastAsia"/>
        </w:rPr>
        <w:t>PREPARED FOR</w:t>
      </w:r>
    </w:p>
    <w:p w14:paraId="5C345B5A" w14:textId="773F7C0E" w:rsidR="00837A48" w:rsidRDefault="00837A48" w:rsidP="00837A48">
      <w:pPr>
        <w:pStyle w:val="paragraph"/>
        <w:spacing w:before="0" w:beforeAutospacing="0" w:after="0" w:afterAutospacing="0" w:line="480" w:lineRule="auto"/>
        <w:jc w:val="center"/>
        <w:textAlignment w:val="baseline"/>
        <w:rPr>
          <w:rStyle w:val="normaltextrun"/>
          <w:rFonts w:eastAsiaTheme="majorEastAsia"/>
          <w:color w:val="000000"/>
        </w:rPr>
      </w:pPr>
      <w:r>
        <w:rPr>
          <w:rStyle w:val="normaltextrun"/>
          <w:rFonts w:eastAsiaTheme="majorEastAsia"/>
          <w:color w:val="000000"/>
          <w:lang w:val="en-US"/>
        </w:rPr>
        <w:t>HEA 1041</w:t>
      </w:r>
    </w:p>
    <w:p w14:paraId="5FA17A24" w14:textId="77777777" w:rsidR="00837A48" w:rsidRDefault="00837A48" w:rsidP="00837A48">
      <w:pPr>
        <w:pStyle w:val="paragraph"/>
        <w:spacing w:before="0" w:beforeAutospacing="0" w:after="0" w:afterAutospacing="0" w:line="480" w:lineRule="auto"/>
        <w:jc w:val="center"/>
        <w:textAlignment w:val="baseline"/>
      </w:pPr>
      <w:r>
        <w:rPr>
          <w:rStyle w:val="normaltextrun"/>
          <w:rFonts w:eastAsiaTheme="majorEastAsia"/>
          <w:color w:val="000000"/>
          <w:lang w:val="en-US"/>
        </w:rPr>
        <w:t>JASON CORCORAN</w:t>
      </w:r>
    </w:p>
    <w:p w14:paraId="50D79257" w14:textId="1B953EB6" w:rsidR="00837A48" w:rsidRDefault="00837A48" w:rsidP="00837A48">
      <w:pPr>
        <w:pStyle w:val="paragraph"/>
        <w:spacing w:before="0" w:beforeAutospacing="0" w:after="0" w:afterAutospacing="0" w:line="480" w:lineRule="auto"/>
        <w:jc w:val="center"/>
        <w:textAlignment w:val="baseline"/>
      </w:pPr>
      <w:r>
        <w:rPr>
          <w:rStyle w:val="normaltextrun"/>
          <w:rFonts w:eastAsiaTheme="majorEastAsia"/>
          <w:color w:val="000000"/>
          <w:lang w:val="en-US"/>
        </w:rPr>
        <w:t>2025-03-03</w:t>
      </w:r>
    </w:p>
    <w:p w14:paraId="342618BE" w14:textId="77777777" w:rsidR="00837A48" w:rsidRDefault="00837A48" w:rsidP="0081663C"/>
    <w:p w14:paraId="2AC2F504" w14:textId="77777777" w:rsidR="00837A48" w:rsidRDefault="00837A48" w:rsidP="0081663C"/>
    <w:p w14:paraId="17932734" w14:textId="77777777" w:rsidR="00586CF0" w:rsidRDefault="00586CF0" w:rsidP="00837A48">
      <w:pPr>
        <w:spacing w:line="240" w:lineRule="auto"/>
      </w:pPr>
    </w:p>
    <w:p w14:paraId="79BE49C1" w14:textId="640E6705" w:rsidR="0081663C" w:rsidRPr="00837A48" w:rsidRDefault="00837A48" w:rsidP="00837A48">
      <w:pPr>
        <w:spacing w:line="240" w:lineRule="auto"/>
        <w:rPr>
          <w:rFonts w:ascii="Times New Roman" w:hAnsi="Times New Roman" w:cs="Times New Roman"/>
          <w:b/>
          <w:bCs/>
        </w:rPr>
      </w:pPr>
      <w:r w:rsidRPr="00837A48">
        <w:rPr>
          <w:rFonts w:ascii="Times New Roman" w:hAnsi="Times New Roman" w:cs="Times New Roman"/>
          <w:b/>
          <w:bCs/>
        </w:rPr>
        <w:lastRenderedPageBreak/>
        <w:t>INTRODUCTION</w:t>
      </w:r>
    </w:p>
    <w:p w14:paraId="3B5D4589" w14:textId="28C09BFF" w:rsidR="0081663C" w:rsidRPr="00837A48" w:rsidRDefault="0081663C" w:rsidP="00837A48">
      <w:pPr>
        <w:spacing w:line="240" w:lineRule="auto"/>
        <w:rPr>
          <w:rFonts w:ascii="Times New Roman" w:hAnsi="Times New Roman" w:cs="Times New Roman"/>
        </w:rPr>
      </w:pPr>
      <w:r w:rsidRPr="00837A48">
        <w:rPr>
          <w:rFonts w:ascii="Times New Roman" w:hAnsi="Times New Roman" w:cs="Times New Roman"/>
        </w:rPr>
        <w:t xml:space="preserve">In high-performance sports, precision and focus are often the defining factors between victory and defeat. Neurofeedback training, </w:t>
      </w:r>
      <w:r w:rsidR="00837A48">
        <w:rPr>
          <w:rFonts w:ascii="Times New Roman" w:hAnsi="Times New Roman" w:cs="Times New Roman"/>
        </w:rPr>
        <w:t>which</w:t>
      </w:r>
      <w:r w:rsidRPr="00837A48">
        <w:rPr>
          <w:rFonts w:ascii="Times New Roman" w:hAnsi="Times New Roman" w:cs="Times New Roman"/>
        </w:rPr>
        <w:t xml:space="preserve"> leverages brainwave activity to enhance cognitive and motor functions, has gained traction in optimizing athletic performance. This analysis investigates how different brainwave frequencies correlate with shooting accuracy in curling athletes. Using EEG data, we aim to identify the brain regions and frequency bands that can be targeted to improve shot precision and overall consistency.</w:t>
      </w:r>
    </w:p>
    <w:p w14:paraId="04417130" w14:textId="31F85228" w:rsidR="0081663C" w:rsidRPr="00837A48" w:rsidRDefault="00586CF0" w:rsidP="00586CF0">
      <w:pPr>
        <w:spacing w:line="240" w:lineRule="auto"/>
        <w:rPr>
          <w:rFonts w:ascii="Times New Roman" w:hAnsi="Times New Roman" w:cs="Times New Roman"/>
          <w:b/>
          <w:bCs/>
        </w:rPr>
      </w:pPr>
      <w:r w:rsidRPr="00837A48">
        <w:rPr>
          <w:rFonts w:ascii="Times New Roman" w:hAnsi="Times New Roman" w:cs="Times New Roman"/>
          <w:b/>
          <w:bCs/>
        </w:rPr>
        <w:t>KEY FINDINGS</w:t>
      </w:r>
    </w:p>
    <w:p w14:paraId="4A49DBC1" w14:textId="77777777" w:rsidR="00837A48" w:rsidRDefault="00837A48" w:rsidP="00837A48">
      <w:pPr>
        <w:pStyle w:val="NormalWeb"/>
        <w:numPr>
          <w:ilvl w:val="0"/>
          <w:numId w:val="1"/>
        </w:numPr>
      </w:pPr>
      <w:r>
        <w:rPr>
          <w:rStyle w:val="Strong"/>
          <w:rFonts w:eastAsiaTheme="majorEastAsia"/>
        </w:rPr>
        <w:t>Theta Power and Performance:</w:t>
      </w:r>
    </w:p>
    <w:p w14:paraId="0E804FB6" w14:textId="77777777" w:rsidR="00837A48" w:rsidRPr="00837A48" w:rsidRDefault="00837A48" w:rsidP="00837A48">
      <w:pPr>
        <w:pStyle w:val="NormalWeb"/>
        <w:numPr>
          <w:ilvl w:val="1"/>
          <w:numId w:val="2"/>
        </w:numPr>
      </w:pPr>
      <w:r w:rsidRPr="00837A48">
        <w:t>High theta power in the</w:t>
      </w:r>
      <w:r w:rsidRPr="00837A48">
        <w:rPr>
          <w:b/>
          <w:bCs/>
        </w:rPr>
        <w:t xml:space="preserve"> </w:t>
      </w:r>
      <w:r w:rsidRPr="00837A48">
        <w:rPr>
          <w:rStyle w:val="Strong"/>
          <w:rFonts w:eastAsiaTheme="majorEastAsia"/>
          <w:b w:val="0"/>
          <w:bCs w:val="0"/>
        </w:rPr>
        <w:t>left frontal lobe</w:t>
      </w:r>
      <w:r w:rsidRPr="00837A48">
        <w:t xml:space="preserve"> is linked to poor shot accuracy, suggesting it hampers focus and precision.</w:t>
      </w:r>
    </w:p>
    <w:p w14:paraId="6B7EAF5D" w14:textId="77777777" w:rsidR="00837A48" w:rsidRPr="00586CF0" w:rsidRDefault="00837A48" w:rsidP="00837A48">
      <w:pPr>
        <w:pStyle w:val="NormalWeb"/>
        <w:numPr>
          <w:ilvl w:val="1"/>
          <w:numId w:val="2"/>
        </w:numPr>
      </w:pPr>
      <w:r w:rsidRPr="00837A48">
        <w:t>The</w:t>
      </w:r>
      <w:r w:rsidRPr="00837A48">
        <w:rPr>
          <w:b/>
          <w:bCs/>
        </w:rPr>
        <w:t xml:space="preserve"> </w:t>
      </w:r>
      <w:r w:rsidRPr="00837A48">
        <w:rPr>
          <w:rStyle w:val="Strong"/>
          <w:rFonts w:eastAsiaTheme="majorEastAsia"/>
          <w:b w:val="0"/>
          <w:bCs w:val="0"/>
        </w:rPr>
        <w:t>right frontal</w:t>
      </w:r>
      <w:r w:rsidRPr="00837A48">
        <w:rPr>
          <w:rStyle w:val="Strong"/>
          <w:rFonts w:eastAsiaTheme="majorEastAsia"/>
        </w:rPr>
        <w:t xml:space="preserve"> </w:t>
      </w:r>
      <w:r w:rsidRPr="00586CF0">
        <w:rPr>
          <w:rStyle w:val="Strong"/>
          <w:rFonts w:eastAsiaTheme="majorEastAsia"/>
          <w:b w:val="0"/>
          <w:bCs w:val="0"/>
        </w:rPr>
        <w:t>lobe</w:t>
      </w:r>
      <w:r w:rsidRPr="00586CF0">
        <w:t xml:space="preserve"> plays a lesser role in performance outcomes.</w:t>
      </w:r>
    </w:p>
    <w:p w14:paraId="59BD43E8" w14:textId="5DEA7E76" w:rsidR="00837A48" w:rsidRPr="00837A48" w:rsidRDefault="00837A48" w:rsidP="00837A48">
      <w:pPr>
        <w:pStyle w:val="NormalWeb"/>
        <w:numPr>
          <w:ilvl w:val="1"/>
          <w:numId w:val="2"/>
        </w:numPr>
      </w:pPr>
      <w:r w:rsidRPr="00586CF0">
        <w:t xml:space="preserve">Overall, </w:t>
      </w:r>
      <w:r w:rsidRPr="00586CF0">
        <w:rPr>
          <w:rStyle w:val="Strong"/>
          <w:rFonts w:eastAsiaTheme="majorEastAsia"/>
          <w:b w:val="0"/>
          <w:bCs w:val="0"/>
        </w:rPr>
        <w:t>excessive</w:t>
      </w:r>
      <w:r w:rsidRPr="00837A48">
        <w:rPr>
          <w:rStyle w:val="Strong"/>
          <w:rFonts w:eastAsiaTheme="majorEastAsia"/>
        </w:rPr>
        <w:t xml:space="preserve"> </w:t>
      </w:r>
      <w:r w:rsidRPr="00586CF0">
        <w:rPr>
          <w:rStyle w:val="Strong"/>
          <w:rFonts w:eastAsiaTheme="majorEastAsia"/>
          <w:b w:val="0"/>
          <w:bCs w:val="0"/>
        </w:rPr>
        <w:t>theta activity</w:t>
      </w:r>
      <w:r w:rsidRPr="00837A48">
        <w:t xml:space="preserve"> appears detrimental to high-focus tasks</w:t>
      </w:r>
    </w:p>
    <w:p w14:paraId="1650785E" w14:textId="7A4359CB" w:rsidR="00837A48" w:rsidRDefault="00837A48" w:rsidP="00837A48">
      <w:pPr>
        <w:pStyle w:val="NormalWeb"/>
        <w:numPr>
          <w:ilvl w:val="0"/>
          <w:numId w:val="1"/>
        </w:numPr>
      </w:pPr>
      <w:r>
        <w:rPr>
          <w:rStyle w:val="Strong"/>
          <w:rFonts w:eastAsiaTheme="majorEastAsia"/>
        </w:rPr>
        <w:t>Alpha Power and Performance:</w:t>
      </w:r>
    </w:p>
    <w:p w14:paraId="41CFD204" w14:textId="77777777" w:rsidR="00837A48" w:rsidRPr="00837A48" w:rsidRDefault="00837A48" w:rsidP="00837A48">
      <w:pPr>
        <w:pStyle w:val="NormalWeb"/>
        <w:numPr>
          <w:ilvl w:val="0"/>
          <w:numId w:val="3"/>
        </w:numPr>
      </w:pPr>
      <w:r w:rsidRPr="00837A48">
        <w:rPr>
          <w:rStyle w:val="Strong"/>
          <w:rFonts w:eastAsiaTheme="majorEastAsia"/>
          <w:b w:val="0"/>
          <w:bCs w:val="0"/>
        </w:rPr>
        <w:t>Moderate alpha power in the left hemisphere</w:t>
      </w:r>
      <w:r w:rsidRPr="00837A48">
        <w:t xml:space="preserve"> supports relaxed focus and better accuracy.</w:t>
      </w:r>
    </w:p>
    <w:p w14:paraId="5CB8C947" w14:textId="77777777" w:rsidR="00837A48" w:rsidRPr="00837A48" w:rsidRDefault="00837A48" w:rsidP="00837A48">
      <w:pPr>
        <w:pStyle w:val="NormalWeb"/>
        <w:numPr>
          <w:ilvl w:val="0"/>
          <w:numId w:val="3"/>
        </w:numPr>
      </w:pPr>
      <w:r w:rsidRPr="00837A48">
        <w:t xml:space="preserve">The </w:t>
      </w:r>
      <w:r w:rsidRPr="00837A48">
        <w:rPr>
          <w:rStyle w:val="Strong"/>
          <w:rFonts w:eastAsiaTheme="majorEastAsia"/>
          <w:b w:val="0"/>
          <w:bCs w:val="0"/>
        </w:rPr>
        <w:t>right hemisphere alpha power</w:t>
      </w:r>
      <w:r w:rsidRPr="00837A48">
        <w:t xml:space="preserve"> shows no strong relationship with performance, indicating a more localized effect.</w:t>
      </w:r>
    </w:p>
    <w:p w14:paraId="641B71C6" w14:textId="77777777" w:rsidR="00586CF0" w:rsidRDefault="00837A48" w:rsidP="00586CF0">
      <w:pPr>
        <w:pStyle w:val="NormalWeb"/>
        <w:numPr>
          <w:ilvl w:val="0"/>
          <w:numId w:val="1"/>
        </w:numPr>
      </w:pPr>
      <w:r>
        <w:rPr>
          <w:rStyle w:val="Strong"/>
          <w:rFonts w:eastAsiaTheme="majorEastAsia"/>
        </w:rPr>
        <w:t>Beta Power and Performance:</w:t>
      </w:r>
    </w:p>
    <w:p w14:paraId="11F02DD2" w14:textId="77777777" w:rsidR="00586CF0" w:rsidRDefault="00837A48" w:rsidP="00586CF0">
      <w:pPr>
        <w:pStyle w:val="NormalWeb"/>
        <w:numPr>
          <w:ilvl w:val="0"/>
          <w:numId w:val="9"/>
        </w:numPr>
      </w:pPr>
      <w:r w:rsidRPr="00586CF0">
        <w:rPr>
          <w:rStyle w:val="Strong"/>
          <w:rFonts w:eastAsiaTheme="majorEastAsia"/>
          <w:b w:val="0"/>
          <w:bCs w:val="0"/>
        </w:rPr>
        <w:t>Balanced beta power in the left frontal lobe</w:t>
      </w:r>
      <w:r w:rsidRPr="00586CF0">
        <w:rPr>
          <w:b/>
          <w:bCs/>
        </w:rPr>
        <w:t xml:space="preserve"> </w:t>
      </w:r>
      <w:r w:rsidRPr="00586CF0">
        <w:t>enhances executive function and motor control.</w:t>
      </w:r>
    </w:p>
    <w:p w14:paraId="122EA683" w14:textId="433CE37E" w:rsidR="00837A48" w:rsidRPr="00586CF0" w:rsidRDefault="00837A48" w:rsidP="00586CF0">
      <w:pPr>
        <w:pStyle w:val="NormalWeb"/>
        <w:numPr>
          <w:ilvl w:val="0"/>
          <w:numId w:val="9"/>
        </w:numPr>
      </w:pPr>
      <w:r w:rsidRPr="00586CF0">
        <w:rPr>
          <w:rStyle w:val="Strong"/>
          <w:rFonts w:eastAsiaTheme="majorEastAsia"/>
          <w:b w:val="0"/>
          <w:bCs w:val="0"/>
        </w:rPr>
        <w:t>Excessive beta power in the right hemisphere</w:t>
      </w:r>
      <w:r w:rsidRPr="00586CF0">
        <w:t xml:space="preserve"> may lead to cognitive overload and performance anxiety.</w:t>
      </w:r>
    </w:p>
    <w:p w14:paraId="79891D7C" w14:textId="6F5F3E02" w:rsidR="0081663C" w:rsidRPr="00837A48" w:rsidRDefault="00586CF0" w:rsidP="00837A48">
      <w:pPr>
        <w:spacing w:line="240" w:lineRule="auto"/>
        <w:rPr>
          <w:rFonts w:ascii="Times New Roman" w:hAnsi="Times New Roman" w:cs="Times New Roman"/>
          <w:b/>
          <w:bCs/>
        </w:rPr>
      </w:pPr>
      <w:r w:rsidRPr="00837A48">
        <w:rPr>
          <w:rFonts w:ascii="Times New Roman" w:hAnsi="Times New Roman" w:cs="Times New Roman"/>
          <w:b/>
          <w:bCs/>
        </w:rPr>
        <w:t>NEUROFEEDBACK RECOMMENDATIONS</w:t>
      </w:r>
    </w:p>
    <w:p w14:paraId="1C3D0959" w14:textId="4C8DAB5A" w:rsidR="0081663C" w:rsidRPr="00837A48" w:rsidRDefault="0081663C" w:rsidP="00837A48">
      <w:pPr>
        <w:spacing w:line="240" w:lineRule="auto"/>
        <w:rPr>
          <w:rFonts w:ascii="Times New Roman" w:hAnsi="Times New Roman" w:cs="Times New Roman"/>
        </w:rPr>
      </w:pPr>
      <w:r w:rsidRPr="00837A48">
        <w:rPr>
          <w:rFonts w:ascii="Times New Roman" w:hAnsi="Times New Roman" w:cs="Times New Roman"/>
        </w:rPr>
        <w:t>1. Decrease Theta Power in the Left Frontal Lobe: Given the strong correlation between high theta power and poorer accuracy, neurofeedback training should focus on reducing theta activity in this region to enhance concentration and decision-making.</w:t>
      </w:r>
    </w:p>
    <w:p w14:paraId="6C9C5300" w14:textId="5ED9D3E2" w:rsidR="0081663C" w:rsidRPr="00837A48" w:rsidRDefault="0081663C" w:rsidP="00837A48">
      <w:pPr>
        <w:spacing w:line="240" w:lineRule="auto"/>
        <w:rPr>
          <w:rFonts w:ascii="Times New Roman" w:hAnsi="Times New Roman" w:cs="Times New Roman"/>
        </w:rPr>
      </w:pPr>
      <w:r w:rsidRPr="00837A48">
        <w:rPr>
          <w:rFonts w:ascii="Times New Roman" w:hAnsi="Times New Roman" w:cs="Times New Roman"/>
        </w:rPr>
        <w:t>2. Optimize Alpha Power in the Left Hemisphere: Since moderate alpha levels correlate with better performance, training should focus on stabilizing rather than significantly increasing or decreasing alpha power in this hemisphere.</w:t>
      </w:r>
    </w:p>
    <w:p w14:paraId="79956A6D" w14:textId="0353A579" w:rsidR="0081663C" w:rsidRDefault="0081663C" w:rsidP="00837A48">
      <w:pPr>
        <w:spacing w:line="240" w:lineRule="auto"/>
        <w:rPr>
          <w:rFonts w:ascii="Times New Roman" w:hAnsi="Times New Roman" w:cs="Times New Roman"/>
        </w:rPr>
      </w:pPr>
      <w:r w:rsidRPr="00837A48">
        <w:rPr>
          <w:rFonts w:ascii="Times New Roman" w:hAnsi="Times New Roman" w:cs="Times New Roman"/>
        </w:rPr>
        <w:t>3. Regulate Beta Power for Cognitive and Motor Control: Maintaining moderate beta levels in the left hemisphere can enhance precision and focus, while avoiding excessive beta stimulation in the right hemisphere can prevent overstimulation and stress responses.</w:t>
      </w:r>
    </w:p>
    <w:p w14:paraId="03636B5F" w14:textId="77777777" w:rsidR="00586CF0" w:rsidRDefault="00586CF0" w:rsidP="00837A48">
      <w:pPr>
        <w:spacing w:line="240" w:lineRule="auto"/>
        <w:rPr>
          <w:rFonts w:ascii="Times New Roman" w:hAnsi="Times New Roman" w:cs="Times New Roman"/>
        </w:rPr>
      </w:pPr>
    </w:p>
    <w:p w14:paraId="52BE18A4" w14:textId="77777777" w:rsidR="00586CF0" w:rsidRDefault="00586CF0" w:rsidP="00837A48">
      <w:pPr>
        <w:spacing w:line="240" w:lineRule="auto"/>
        <w:rPr>
          <w:rFonts w:ascii="Times New Roman" w:hAnsi="Times New Roman" w:cs="Times New Roman"/>
        </w:rPr>
      </w:pPr>
    </w:p>
    <w:p w14:paraId="7420C8BD" w14:textId="67C02E53" w:rsidR="0081663C" w:rsidRPr="00586CF0" w:rsidRDefault="00586CF0" w:rsidP="00837A48">
      <w:pPr>
        <w:spacing w:line="240" w:lineRule="auto"/>
        <w:rPr>
          <w:rFonts w:ascii="Times New Roman" w:hAnsi="Times New Roman" w:cs="Times New Roman"/>
          <w:b/>
          <w:bCs/>
        </w:rPr>
      </w:pPr>
      <w:r w:rsidRPr="00586CF0">
        <w:rPr>
          <w:rFonts w:ascii="Times New Roman" w:hAnsi="Times New Roman" w:cs="Times New Roman"/>
          <w:b/>
          <w:bCs/>
        </w:rPr>
        <w:lastRenderedPageBreak/>
        <w:t>ALIGNMENT WITH LITERATURE</w:t>
      </w:r>
    </w:p>
    <w:p w14:paraId="28C1DF4A" w14:textId="1DF529EE" w:rsidR="0081663C" w:rsidRPr="00837A48" w:rsidRDefault="0081663C" w:rsidP="00837A48">
      <w:pPr>
        <w:spacing w:line="240" w:lineRule="auto"/>
        <w:rPr>
          <w:rFonts w:ascii="Times New Roman" w:hAnsi="Times New Roman" w:cs="Times New Roman"/>
        </w:rPr>
      </w:pPr>
      <w:r w:rsidRPr="00837A48">
        <w:rPr>
          <w:rFonts w:ascii="Times New Roman" w:hAnsi="Times New Roman" w:cs="Times New Roman"/>
        </w:rPr>
        <w:t>Research in sports neuroscience suggests that theta waves are typically linked to deep relaxation and reduced attentional control, which can harm performance in high-precision tasks. Studies have shown that lowering theta activity while optimizing alpha and beta levels improves focus, reaction time, and motor execution. Furthermore, beta waves are associated with cognitive engagement and motor processing, but excessive beta can contribute to performance anxiety. Our findings align with these studies, supporting the idea that reducing theta and carefully balancing beta activity can improve athletic performance.</w:t>
      </w:r>
    </w:p>
    <w:p w14:paraId="03055581" w14:textId="3D6A0EA5" w:rsidR="0081663C" w:rsidRPr="00586CF0" w:rsidRDefault="00586CF0" w:rsidP="00837A48">
      <w:pPr>
        <w:spacing w:line="240" w:lineRule="auto"/>
        <w:rPr>
          <w:rFonts w:ascii="Times New Roman" w:hAnsi="Times New Roman" w:cs="Times New Roman"/>
          <w:b/>
          <w:bCs/>
        </w:rPr>
      </w:pPr>
      <w:r w:rsidRPr="00586CF0">
        <w:rPr>
          <w:rFonts w:ascii="Times New Roman" w:hAnsi="Times New Roman" w:cs="Times New Roman"/>
          <w:b/>
          <w:bCs/>
        </w:rPr>
        <w:t>CONCLUSION</w:t>
      </w:r>
    </w:p>
    <w:p w14:paraId="7EADE930" w14:textId="34CDFF8C" w:rsidR="0081663C" w:rsidRPr="00837A48" w:rsidRDefault="0081663C" w:rsidP="00837A48">
      <w:pPr>
        <w:spacing w:line="240" w:lineRule="auto"/>
        <w:rPr>
          <w:rFonts w:ascii="Times New Roman" w:hAnsi="Times New Roman" w:cs="Times New Roman"/>
        </w:rPr>
      </w:pPr>
      <w:r w:rsidRPr="00837A48">
        <w:rPr>
          <w:rFonts w:ascii="Times New Roman" w:hAnsi="Times New Roman" w:cs="Times New Roman"/>
        </w:rPr>
        <w:t>Based on the EEG data, neurofeedback training for curling athletes should emphasize reducing theta power in the left frontal lobe, stabilizing alpha activity in the left hemisphere, and maintaining balanced beta power to optimize focus and precision. By implementing these strategies, athletes may enhance their cognitive control, motor coordination, and overall shot accuracy, ultimately improving competitive performance.</w:t>
      </w:r>
    </w:p>
    <w:p w14:paraId="5B223700" w14:textId="77777777" w:rsidR="0081663C" w:rsidRPr="00837A48" w:rsidRDefault="0081663C" w:rsidP="00837A48">
      <w:pPr>
        <w:spacing w:line="240" w:lineRule="auto"/>
        <w:rPr>
          <w:rFonts w:ascii="Times New Roman" w:hAnsi="Times New Roman" w:cs="Times New Roman"/>
        </w:rPr>
      </w:pPr>
    </w:p>
    <w:sectPr w:rsidR="0081663C" w:rsidRPr="00837A48" w:rsidSect="00586CF0">
      <w:pgSz w:w="12240" w:h="15840"/>
      <w:pgMar w:top="1440" w:right="1440" w:bottom="1440" w:left="1440" w:header="708" w:footer="708" w:gutter="0"/>
      <w:pgBorders w:display="firstPage" w:offsetFrom="page">
        <w:top w:val="doubleD" w:sz="16" w:space="24" w:color="auto"/>
        <w:left w:val="doubleD" w:sz="16" w:space="24" w:color="auto"/>
        <w:bottom w:val="doubleD" w:sz="16" w:space="24" w:color="auto"/>
        <w:right w:val="doubleD"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2205"/>
    <w:multiLevelType w:val="hybridMultilevel"/>
    <w:tmpl w:val="989061F4"/>
    <w:lvl w:ilvl="0" w:tplc="1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722F9F"/>
    <w:multiLevelType w:val="hybridMultilevel"/>
    <w:tmpl w:val="3E3CF2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894D6D"/>
    <w:multiLevelType w:val="multilevel"/>
    <w:tmpl w:val="355C6A44"/>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93D2B"/>
    <w:multiLevelType w:val="hybridMultilevel"/>
    <w:tmpl w:val="AAF87182"/>
    <w:lvl w:ilvl="0" w:tplc="10090009">
      <w:start w:val="1"/>
      <w:numFmt w:val="bullet"/>
      <w:lvlText w:val=""/>
      <w:lvlJc w:val="left"/>
      <w:pPr>
        <w:ind w:left="720" w:hanging="360"/>
      </w:pPr>
      <w:rPr>
        <w:rFonts w:ascii="Wingdings" w:hAnsi="Wingdings" w:hint="default"/>
      </w:rPr>
    </w:lvl>
    <w:lvl w:ilvl="1" w:tplc="10090009">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8B15FD"/>
    <w:multiLevelType w:val="hybridMultilevel"/>
    <w:tmpl w:val="8A626DAC"/>
    <w:lvl w:ilvl="0" w:tplc="10090009">
      <w:start w:val="1"/>
      <w:numFmt w:val="bullet"/>
      <w:lvlText w:val=""/>
      <w:lvlJc w:val="left"/>
      <w:pPr>
        <w:ind w:left="1494" w:hanging="360"/>
      </w:pPr>
      <w:rPr>
        <w:rFonts w:ascii="Wingdings" w:hAnsi="Wingdings" w:hint="default"/>
      </w:rPr>
    </w:lvl>
    <w:lvl w:ilvl="1" w:tplc="10090003">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5" w15:restartNumberingAfterBreak="0">
    <w:nsid w:val="544D48EB"/>
    <w:multiLevelType w:val="hybridMultilevel"/>
    <w:tmpl w:val="2BBE7E2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3F0452"/>
    <w:multiLevelType w:val="hybridMultilevel"/>
    <w:tmpl w:val="DC9A929E"/>
    <w:lvl w:ilvl="0" w:tplc="10090009">
      <w:start w:val="1"/>
      <w:numFmt w:val="bullet"/>
      <w:lvlText w:val=""/>
      <w:lvlJc w:val="left"/>
      <w:pPr>
        <w:ind w:left="1494" w:hanging="360"/>
      </w:pPr>
      <w:rPr>
        <w:rFonts w:ascii="Wingdings" w:hAnsi="Wingdings" w:hint="default"/>
      </w:rPr>
    </w:lvl>
    <w:lvl w:ilvl="1" w:tplc="10090003">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7" w15:restartNumberingAfterBreak="0">
    <w:nsid w:val="6244066E"/>
    <w:multiLevelType w:val="hybridMultilevel"/>
    <w:tmpl w:val="C97E8EBC"/>
    <w:lvl w:ilvl="0" w:tplc="10090009">
      <w:start w:val="1"/>
      <w:numFmt w:val="bullet"/>
      <w:lvlText w:val=""/>
      <w:lvlJc w:val="left"/>
      <w:pPr>
        <w:ind w:left="1494" w:hanging="360"/>
      </w:pPr>
      <w:rPr>
        <w:rFonts w:ascii="Wingdings" w:hAnsi="Wingdings"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8" w15:restartNumberingAfterBreak="0">
    <w:nsid w:val="66744DD0"/>
    <w:multiLevelType w:val="hybridMultilevel"/>
    <w:tmpl w:val="D8A26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36485043">
    <w:abstractNumId w:val="2"/>
  </w:num>
  <w:num w:numId="2" w16cid:durableId="1628469941">
    <w:abstractNumId w:val="3"/>
  </w:num>
  <w:num w:numId="3" w16cid:durableId="141390898">
    <w:abstractNumId w:val="7"/>
  </w:num>
  <w:num w:numId="4" w16cid:durableId="1935043873">
    <w:abstractNumId w:val="5"/>
  </w:num>
  <w:num w:numId="5" w16cid:durableId="1439059374">
    <w:abstractNumId w:val="4"/>
  </w:num>
  <w:num w:numId="6" w16cid:durableId="2146386119">
    <w:abstractNumId w:val="6"/>
  </w:num>
  <w:num w:numId="7" w16cid:durableId="718896593">
    <w:abstractNumId w:val="1"/>
  </w:num>
  <w:num w:numId="8" w16cid:durableId="121465505">
    <w:abstractNumId w:val="8"/>
  </w:num>
  <w:num w:numId="9" w16cid:durableId="138471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3C"/>
    <w:rsid w:val="001961B6"/>
    <w:rsid w:val="00586CF0"/>
    <w:rsid w:val="0075358C"/>
    <w:rsid w:val="0081663C"/>
    <w:rsid w:val="00837A48"/>
    <w:rsid w:val="00E56BCF"/>
    <w:rsid w:val="00F01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C4FAA"/>
  <w15:chartTrackingRefBased/>
  <w15:docId w15:val="{8CD5D9D9-BBBC-4402-8ED4-ED77CBE9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63C"/>
    <w:rPr>
      <w:rFonts w:eastAsiaTheme="majorEastAsia" w:cstheme="majorBidi"/>
      <w:color w:val="272727" w:themeColor="text1" w:themeTint="D8"/>
    </w:rPr>
  </w:style>
  <w:style w:type="paragraph" w:styleId="Title">
    <w:name w:val="Title"/>
    <w:basedOn w:val="Normal"/>
    <w:next w:val="Normal"/>
    <w:link w:val="TitleChar"/>
    <w:uiPriority w:val="10"/>
    <w:qFormat/>
    <w:rsid w:val="00816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63C"/>
    <w:pPr>
      <w:spacing w:before="160"/>
      <w:jc w:val="center"/>
    </w:pPr>
    <w:rPr>
      <w:i/>
      <w:iCs/>
      <w:color w:val="404040" w:themeColor="text1" w:themeTint="BF"/>
    </w:rPr>
  </w:style>
  <w:style w:type="character" w:customStyle="1" w:styleId="QuoteChar">
    <w:name w:val="Quote Char"/>
    <w:basedOn w:val="DefaultParagraphFont"/>
    <w:link w:val="Quote"/>
    <w:uiPriority w:val="29"/>
    <w:rsid w:val="0081663C"/>
    <w:rPr>
      <w:i/>
      <w:iCs/>
      <w:color w:val="404040" w:themeColor="text1" w:themeTint="BF"/>
    </w:rPr>
  </w:style>
  <w:style w:type="paragraph" w:styleId="ListParagraph">
    <w:name w:val="List Paragraph"/>
    <w:basedOn w:val="Normal"/>
    <w:uiPriority w:val="34"/>
    <w:qFormat/>
    <w:rsid w:val="0081663C"/>
    <w:pPr>
      <w:ind w:left="720"/>
      <w:contextualSpacing/>
    </w:pPr>
  </w:style>
  <w:style w:type="character" w:styleId="IntenseEmphasis">
    <w:name w:val="Intense Emphasis"/>
    <w:basedOn w:val="DefaultParagraphFont"/>
    <w:uiPriority w:val="21"/>
    <w:qFormat/>
    <w:rsid w:val="0081663C"/>
    <w:rPr>
      <w:i/>
      <w:iCs/>
      <w:color w:val="0F4761" w:themeColor="accent1" w:themeShade="BF"/>
    </w:rPr>
  </w:style>
  <w:style w:type="paragraph" w:styleId="IntenseQuote">
    <w:name w:val="Intense Quote"/>
    <w:basedOn w:val="Normal"/>
    <w:next w:val="Normal"/>
    <w:link w:val="IntenseQuoteChar"/>
    <w:uiPriority w:val="30"/>
    <w:qFormat/>
    <w:rsid w:val="00816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63C"/>
    <w:rPr>
      <w:i/>
      <w:iCs/>
      <w:color w:val="0F4761" w:themeColor="accent1" w:themeShade="BF"/>
    </w:rPr>
  </w:style>
  <w:style w:type="character" w:styleId="IntenseReference">
    <w:name w:val="Intense Reference"/>
    <w:basedOn w:val="DefaultParagraphFont"/>
    <w:uiPriority w:val="32"/>
    <w:qFormat/>
    <w:rsid w:val="0081663C"/>
    <w:rPr>
      <w:b/>
      <w:bCs/>
      <w:smallCaps/>
      <w:color w:val="0F4761" w:themeColor="accent1" w:themeShade="BF"/>
      <w:spacing w:val="5"/>
    </w:rPr>
  </w:style>
  <w:style w:type="paragraph" w:styleId="NormalWeb">
    <w:name w:val="Normal (Web)"/>
    <w:basedOn w:val="Normal"/>
    <w:uiPriority w:val="99"/>
    <w:unhideWhenUsed/>
    <w:rsid w:val="00837A4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837A48"/>
    <w:rPr>
      <w:b/>
      <w:bCs/>
    </w:rPr>
  </w:style>
  <w:style w:type="paragraph" w:customStyle="1" w:styleId="paragraph">
    <w:name w:val="paragraph"/>
    <w:basedOn w:val="Normal"/>
    <w:rsid w:val="00837A4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normaltextrun">
    <w:name w:val="normaltextrun"/>
    <w:basedOn w:val="DefaultParagraphFont"/>
    <w:rsid w:val="0083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5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2855</Characters>
  <Application>Microsoft Office Word</Application>
  <DocSecurity>0</DocSecurity>
  <Lines>71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Aishat Ajayi</dc:creator>
  <cp:keywords/>
  <dc:description/>
  <cp:lastModifiedBy>Aishat Ajayi</cp:lastModifiedBy>
  <cp:revision>2</cp:revision>
  <dcterms:created xsi:type="dcterms:W3CDTF">2025-08-08T06:34:00Z</dcterms:created>
  <dcterms:modified xsi:type="dcterms:W3CDTF">2025-08-08T06:34:00Z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45edc73c-6919-4e62-863b-99dff65a2c55</vt:lpwstr>
  </property>
</Properties>
</file>