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Pragnosia: A Systems Architecture for Continual Representation Learning</w:t>
      </w:r>
    </w:p>
    <w:p>
      <w:pPr>
        <w:spacing w:after="300"/>
        <w:jc w:val="center"/>
      </w:pPr>
      <w:r>
        <w:rPr>
          <w:rFonts w:ascii="Times New Roman" w:cs="Times New Roman" w:eastAsia="Times New Roman" w:hAnsi="Times New Roman"/>
          <w:sz w:val="24"/>
          <w:szCs w:val="24"/>
        </w:rPr>
        <w:t xml:space="preserve">Neuroscience-Inspired Design for Memory-Efficient Adaptive Language Models</w:t>
      </w:r>
    </w:p>
    <w:p>
      <w:pPr>
        <w:spacing w:before="400"/>
      </w:pPr>
    </w:p>
    <w:p>
      <w:pPr>
        <w:spacing w:after="100"/>
        <w:jc w:val="center"/>
      </w:pPr>
      <w:r>
        <w:rPr>
          <w:rFonts w:ascii="Times New Roman" w:cs="Times New Roman" w:eastAsia="Times New Roman" w:hAnsi="Times New Roman"/>
          <w:sz w:val="24"/>
          <w:szCs w:val="24"/>
        </w:rPr>
        <w:t xml:space="preserve">Ashish Kumar</w:t>
      </w:r>
    </w:p>
    <w:p>
      <w:pPr>
        <w:spacing w:after="50"/>
        <w:jc w:val="center"/>
      </w:pPr>
      <w:r>
        <w:rPr>
          <w:rFonts w:ascii="Times New Roman" w:cs="Times New Roman" w:eastAsia="Times New Roman" w:hAnsi="Times New Roman"/>
          <w:i/>
          <w:iCs/>
          <w:sz w:val="22"/>
          <w:szCs w:val="22"/>
        </w:rPr>
        <w:t xml:space="preserve">AI Engineer, Generative AI Research</w:t>
      </w:r>
    </w:p>
    <w:p>
      <w:pPr>
        <w:spacing w:after="50"/>
        <w:jc w:val="center"/>
      </w:pPr>
      <w:r>
        <w:rPr>
          <w:rFonts w:ascii="Times New Roman" w:cs="Times New Roman" w:eastAsia="Times New Roman" w:hAnsi="Times New Roman"/>
          <w:i/>
          <w:iCs/>
          <w:sz w:val="22"/>
          <w:szCs w:val="22"/>
        </w:rPr>
        <w:t xml:space="preserve">Independent Researcher</w:t>
      </w:r>
    </w:p>
    <w:p>
      <w:pPr>
        <w:spacing w:before="600"/>
      </w:pPr>
    </w:p>
    <w:p>
      <w:pPr>
        <w:spacing w:before="300" w:after="150"/>
      </w:pPr>
      <w:r>
        <w:rPr>
          <w:rFonts w:ascii="Times New Roman" w:cs="Times New Roman" w:eastAsia="Times New Roman" w:hAnsi="Times New Roman"/>
          <w:b/>
          <w:bCs/>
          <w:sz w:val="26"/>
          <w:szCs w:val="26"/>
        </w:rPr>
        <w:t xml:space="preserve">Abstract</w:t>
      </w:r>
    </w:p>
    <w:p>
      <w:pPr>
        <w:spacing w:after="200" w:line="276"/>
        <w:jc w:val="both"/>
      </w:pPr>
      <w:r>
        <w:rPr>
          <w:rFonts w:ascii="Times New Roman" w:cs="Times New Roman" w:eastAsia="Times New Roman" w:hAnsi="Times New Roman"/>
          <w:sz w:val="22"/>
          <w:szCs w:val="22"/>
        </w:rPr>
        <w:t xml:space="preserve">We present Pragnosia, a systems architecture for continual representation learning inspired by neuroscience principles. Unlike conventional LLMs that rely on Reinforcement Learning from Human Feedback (RLHF) for alignment, Pragnosia demonstrates that representation learning and continual adaptation can proceed effectively through multi-dimensional intrinsic objectives—including surprise-weighted prediction errors, temporal consistency, cross-expert disagreement, and compression progress. Our architecture integrates four key engineering contributions: (1) Hebbian expert gating with provable stability properties, replacing backpropagation-trained routers with local, reward-free updates; (2) controlled neuroplasticity with explicit developmental phases and structural safety bounds; (3) asynchronous micro-sleep consolidation enabling &lt;1ms overhead memory transfer; and (4) dynamic expert loading achieving O(k) computation within 4GB GPU memory. Experiments demonstrate 84.0% average continual learning accuracy (vs. 68.2% for experience replay), zero structural safety violations across training, and efficient simulated scaling to 128 experts with constant GPU memory. We provide theoretical stability analysis for Hebbian routing, comprehensive ablations for intrinsic objective components, and quantitative multimodal evaluation. This work offers a foundation for memory-efficient, continuously-learning language models, positioned as complementary to—not replacing—existing alignment approaches.</w:t>
      </w:r>
    </w:p>
    <w:p>
      <w:pPr>
        <w:spacing w:after="3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Continual Learning, Mixture of Experts, Hebbian Learning, Memory-Efficient Inference, Neuroplasticity, Complementary Learning Systems, Intrinsic Motivation</w:t>
      </w:r>
    </w:p>
    <w:p>
      <w:pPr>
        <w:spacing w:before="300" w:after="150"/>
      </w:pPr>
      <w:r>
        <w:rPr>
          <w:rFonts w:ascii="Times New Roman" w:cs="Times New Roman" w:eastAsia="Times New Roman" w:hAnsi="Times New Roman"/>
          <w:b/>
          <w:bCs/>
          <w:sz w:val="26"/>
          <w:szCs w:val="26"/>
        </w:rPr>
        <w:t xml:space="preserve">1. Introduction</w:t>
      </w:r>
    </w:p>
    <w:p>
      <w:pPr>
        <w:spacing w:after="120" w:line="276"/>
        <w:ind w:firstLine="360"/>
        <w:jc w:val="both"/>
      </w:pPr>
      <w:r>
        <w:rPr>
          <w:rFonts w:ascii="Times New Roman" w:cs="Times New Roman" w:eastAsia="Times New Roman" w:hAnsi="Times New Roman"/>
          <w:sz w:val="22"/>
          <w:szCs w:val="22"/>
        </w:rPr>
        <w:t xml:space="preserve">Large Language Models (LLMs) have revolutionized natural language processing, achieving remarkable performance across diverse tasks (Brown et al., 2020; Chowdhery et al., 2022; Touvron et al., 2023). However, deploying these models in resource-constrained environments with requirements for continuous learning remains challenging. We present Pragnosia, a systems architecture addressing these challenges through neuroscience-inspired engineering.</w:t>
      </w:r>
    </w:p>
    <w:p>
      <w:pPr>
        <w:spacing w:after="120" w:line="276"/>
        <w:ind w:firstLine="360"/>
        <w:jc w:val="both"/>
      </w:pPr>
      <w:r>
        <w:rPr>
          <w:rFonts w:ascii="Times New Roman" w:cs="Times New Roman" w:eastAsia="Times New Roman" w:hAnsi="Times New Roman"/>
          <w:sz w:val="22"/>
          <w:szCs w:val="22"/>
        </w:rPr>
        <w:t xml:space="preserve">Our work is explicitly positioned as a systems contribution for continual representation learning, not a biological model or alignment method. We draw inspiration from neuroscience—Hebbian plasticity, complementary learning systems, developmental phases—but prioritize engineering rigor over biological realism. The goal is practical: enable memory-efficient, continuously-learning language models.</w:t>
      </w:r>
    </w:p>
    <w:p>
      <w:pPr>
        <w:spacing w:after="120" w:line="276"/>
        <w:ind w:firstLine="360"/>
        <w:jc w:val="both"/>
      </w:pPr>
      <w:r>
        <w:rPr>
          <w:rFonts w:ascii="Times New Roman" w:cs="Times New Roman" w:eastAsia="Times New Roman" w:hAnsi="Times New Roman"/>
          <w:sz w:val="22"/>
          <w:szCs w:val="22"/>
        </w:rPr>
        <w:t xml:space="preserve">Current LLM architectures face four engineering limitations that we address. First, representation learning typically requires gradient-based optimization through the entire network; we introduce Hebbian expert gating with local updates. Second, static architectures cannot reallocate capacity; we implement controlled neuroplasticity with safety bounds. Third, memory consolidation in prior continual learning work introduces latency; we achieve &lt;1ms overhead through asynchronous micro-sleep. Fourth, large models require substantial GPU memory; we demonstrate 4GB deployment through dynamic expert loading.</w:t>
      </w:r>
    </w:p>
    <w:p>
      <w:pPr>
        <w:spacing w:after="120" w:line="276"/>
        <w:ind w:firstLine="360"/>
        <w:jc w:val="both"/>
      </w:pPr>
      <w:r>
        <w:rPr>
          <w:rFonts w:ascii="Times New Roman" w:cs="Times New Roman" w:eastAsia="Times New Roman" w:hAnsi="Times New Roman"/>
          <w:sz w:val="22"/>
          <w:szCs w:val="22"/>
        </w:rPr>
        <w:t xml:space="preserve">Our key contributions are:</w:t>
      </w:r>
    </w:p>
    <w:p>
      <w:pPr>
        <w:pStyle w:val="ListParagraph"/>
        <w:numPr>
          <w:ilvl w:val="0"/>
          <w:numId w:val="2"/>
        </w:numPr>
        <w:spacing w:after="80" w:line="276"/>
      </w:pPr>
      <w:r>
        <w:rPr>
          <w:rFonts w:ascii="Times New Roman" w:cs="Times New Roman" w:eastAsia="Times New Roman" w:hAnsi="Times New Roman"/>
          <w:sz w:val="22"/>
          <w:szCs w:val="22"/>
        </w:rPr>
        <w:t xml:space="preserve">Hebbian expert gating with theoretical stability analysis (Proposition 1), providing local, reward-free routing that converges under mild conditions.</w:t>
      </w:r>
    </w:p>
    <w:p>
      <w:pPr>
        <w:pStyle w:val="ListParagraph"/>
        <w:numPr>
          <w:ilvl w:val="0"/>
          <w:numId w:val="2"/>
        </w:numPr>
        <w:spacing w:after="80" w:line="276"/>
      </w:pPr>
      <w:r>
        <w:rPr>
          <w:rFonts w:ascii="Times New Roman" w:cs="Times New Roman" w:eastAsia="Times New Roman" w:hAnsi="Times New Roman"/>
          <w:sz w:val="22"/>
          <w:szCs w:val="22"/>
        </w:rPr>
        <w:t xml:space="preserve">Multi-dimensional intrinsic learning with comprehensive ablation showing each component's contribution and learned weight effectiveness.</w:t>
      </w:r>
    </w:p>
    <w:p>
      <w:pPr>
        <w:pStyle w:val="ListParagraph"/>
        <w:numPr>
          <w:ilvl w:val="0"/>
          <w:numId w:val="2"/>
        </w:numPr>
        <w:spacing w:after="80" w:line="276"/>
      </w:pPr>
      <w:r>
        <w:rPr>
          <w:rFonts w:ascii="Times New Roman" w:cs="Times New Roman" w:eastAsia="Times New Roman" w:hAnsi="Times New Roman"/>
          <w:sz w:val="22"/>
          <w:szCs w:val="22"/>
        </w:rPr>
        <w:t xml:space="preserve">Controlled neuroplasticity with developmental phases achieving 84.0% continual learning accuracy with zero safety violations.</w:t>
      </w:r>
    </w:p>
    <w:p>
      <w:pPr>
        <w:pStyle w:val="ListParagraph"/>
        <w:numPr>
          <w:ilvl w:val="0"/>
          <w:numId w:val="2"/>
        </w:numPr>
        <w:spacing w:after="80" w:line="276"/>
      </w:pPr>
      <w:r>
        <w:rPr>
          <w:rFonts w:ascii="Times New Roman" w:cs="Times New Roman" w:eastAsia="Times New Roman" w:hAnsi="Times New Roman"/>
          <w:sz w:val="22"/>
          <w:szCs w:val="22"/>
        </w:rPr>
        <w:t xml:space="preserve">Asynchronous micro-sleep consolidation reducing memory transfer overhead from 30 seconds to &lt;1ms per forward pass.</w:t>
      </w:r>
    </w:p>
    <w:p>
      <w:pPr>
        <w:pStyle w:val="ListParagraph"/>
        <w:numPr>
          <w:ilvl w:val="0"/>
          <w:numId w:val="2"/>
        </w:numPr>
        <w:spacing w:after="80" w:line="276"/>
      </w:pPr>
      <w:r>
        <w:rPr>
          <w:rFonts w:ascii="Times New Roman" w:cs="Times New Roman" w:eastAsia="Times New Roman" w:hAnsi="Times New Roman"/>
          <w:sz w:val="22"/>
          <w:szCs w:val="22"/>
        </w:rPr>
        <w:t xml:space="preserve">Quantitative multimodal evaluation demonstrating perceptual distillation effectiveness across vision and audio modalities.</w:t>
      </w:r>
    </w:p>
    <w:p>
      <w:pPr>
        <w:pStyle w:val="ListParagraph"/>
        <w:numPr>
          <w:ilvl w:val="0"/>
          <w:numId w:val="2"/>
        </w:numPr>
        <w:spacing w:after="200" w:line="276"/>
      </w:pPr>
      <w:r>
        <w:rPr>
          <w:rFonts w:ascii="Times New Roman" w:cs="Times New Roman" w:eastAsia="Times New Roman" w:hAnsi="Times New Roman"/>
          <w:sz w:val="22"/>
          <w:szCs w:val="22"/>
        </w:rPr>
        <w:t xml:space="preserve">Simulated scaling validation to 128 experts with O(k) complexity and constant GPU memory.</w:t>
      </w:r>
    </w:p>
    <w:p>
      <w:pPr>
        <w:spacing w:before="300" w:after="150"/>
      </w:pPr>
      <w:r>
        <w:rPr>
          <w:rFonts w:ascii="Times New Roman" w:cs="Times New Roman" w:eastAsia="Times New Roman" w:hAnsi="Times New Roman"/>
          <w:b/>
          <w:bCs/>
          <w:sz w:val="26"/>
          <w:szCs w:val="26"/>
        </w:rPr>
        <w:t xml:space="preserve">2. Related Work</w:t>
      </w:r>
    </w:p>
    <w:p>
      <w:pPr>
        <w:spacing w:before="240" w:after="120"/>
      </w:pPr>
      <w:r>
        <w:rPr>
          <w:rFonts w:ascii="Times New Roman" w:cs="Times New Roman" w:eastAsia="Times New Roman" w:hAnsi="Times New Roman"/>
          <w:b/>
          <w:bCs/>
          <w:sz w:val="24"/>
          <w:szCs w:val="24"/>
        </w:rPr>
        <w:t xml:space="preserve">2.1 Hebbian Learning and Local Plasticity</w:t>
      </w:r>
    </w:p>
    <w:p>
      <w:pPr>
        <w:spacing w:after="120" w:line="276"/>
        <w:ind w:firstLine="360"/>
        <w:jc w:val="both"/>
      </w:pPr>
      <w:r>
        <w:rPr>
          <w:rFonts w:ascii="Times New Roman" w:cs="Times New Roman" w:eastAsia="Times New Roman" w:hAnsi="Times New Roman"/>
          <w:sz w:val="22"/>
          <w:szCs w:val="22"/>
        </w:rPr>
        <w:t xml:space="preserve">Hebbian learning (Hebb, 1949) and its extensions including BCM theory (Bienenstock et al., 1982) provide local learning rules without backpropagation. Recent work demonstrates that combining Hebbian plasticity with predictive coding produces invariant representations (Halvagal &amp; Zenke, 2023). We extend this to expert routing, providing the first stability analysis for Hebbian gating in MoE architectures.</w:t>
      </w:r>
    </w:p>
    <w:p>
      <w:pPr>
        <w:spacing w:before="240" w:after="120"/>
      </w:pPr>
      <w:r>
        <w:rPr>
          <w:rFonts w:ascii="Times New Roman" w:cs="Times New Roman" w:eastAsia="Times New Roman" w:hAnsi="Times New Roman"/>
          <w:b/>
          <w:bCs/>
          <w:sz w:val="24"/>
          <w:szCs w:val="24"/>
        </w:rPr>
        <w:t xml:space="preserve">2.2 Intrinsic Motivation and Curiosity-Driven Learning</w:t>
      </w:r>
    </w:p>
    <w:p>
      <w:pPr>
        <w:spacing w:after="120" w:line="276"/>
        <w:ind w:firstLine="360"/>
        <w:jc w:val="both"/>
      </w:pPr>
      <w:r>
        <w:rPr>
          <w:rFonts w:ascii="Times New Roman" w:cs="Times New Roman" w:eastAsia="Times New Roman" w:hAnsi="Times New Roman"/>
          <w:sz w:val="22"/>
          <w:szCs w:val="22"/>
        </w:rPr>
        <w:t xml:space="preserve">Intrinsic motivation provides learning signals without external rewards. Schmidhuber (1991) proposed compression progress; Pathak et al. (2017) used prediction error for exploration; Burda et al. (2019) introduced random network distillation. We combine multiple intrinsic objectives with learned weighting, demonstrating that the combination outperforms any single signal.</w:t>
      </w:r>
    </w:p>
    <w:p>
      <w:pPr>
        <w:spacing w:before="240" w:after="120"/>
      </w:pPr>
      <w:r>
        <w:rPr>
          <w:rFonts w:ascii="Times New Roman" w:cs="Times New Roman" w:eastAsia="Times New Roman" w:hAnsi="Times New Roman"/>
          <w:b/>
          <w:bCs/>
          <w:sz w:val="24"/>
          <w:szCs w:val="24"/>
        </w:rPr>
        <w:t xml:space="preserve">2.3 Continual Learning Systems</w:t>
      </w:r>
    </w:p>
    <w:p>
      <w:pPr>
        <w:spacing w:after="120" w:line="276"/>
        <w:ind w:firstLine="360"/>
        <w:jc w:val="both"/>
      </w:pPr>
      <w:r>
        <w:rPr>
          <w:rFonts w:ascii="Times New Roman" w:cs="Times New Roman" w:eastAsia="Times New Roman" w:hAnsi="Times New Roman"/>
          <w:sz w:val="22"/>
          <w:szCs w:val="22"/>
        </w:rPr>
        <w:t xml:space="preserve">Catastrophic forgetting remains central to continual learning (French, 1999). EWC protects important weights (Kirkpatrick et al., 2017); experience replay stores past examples (Rolnick et al., 2019); complementary learning systems theory motivates hippocampal-neocortical architectures (McClelland et al., 1995). We build on CLS with engineering optimizations for online deployment.</w:t>
      </w:r>
    </w:p>
    <w:p>
      <w:pPr>
        <w:spacing w:before="240" w:after="120"/>
      </w:pPr>
      <w:r>
        <w:rPr>
          <w:rFonts w:ascii="Times New Roman" w:cs="Times New Roman" w:eastAsia="Times New Roman" w:hAnsi="Times New Roman"/>
          <w:b/>
          <w:bCs/>
          <w:sz w:val="24"/>
          <w:szCs w:val="24"/>
        </w:rPr>
        <w:t xml:space="preserve">2.4 Mixture of Experts and Efficient Inference</w:t>
      </w:r>
    </w:p>
    <w:p>
      <w:pPr>
        <w:spacing w:after="120" w:line="276"/>
        <w:ind w:firstLine="360"/>
        <w:jc w:val="both"/>
      </w:pPr>
      <w:r>
        <w:rPr>
          <w:rFonts w:ascii="Times New Roman" w:cs="Times New Roman" w:eastAsia="Times New Roman" w:hAnsi="Times New Roman"/>
          <w:sz w:val="22"/>
          <w:szCs w:val="22"/>
        </w:rPr>
        <w:t xml:space="preserve">MoE architectures route inputs to specialized sub-networks (Shazeer et al., 2017; Fedus et al., 2022). Recent work addresses memory-efficient inference through expert offloading (Sheng et al., 2023). We contribute Hebbian routing as an alternative to learned gates, with theoretical stability guarantees.</w:t>
      </w:r>
    </w:p>
    <w:p>
      <w:pPr>
        <w:spacing w:before="300" w:after="150"/>
      </w:pPr>
      <w:r>
        <w:rPr>
          <w:rFonts w:ascii="Times New Roman" w:cs="Times New Roman" w:eastAsia="Times New Roman" w:hAnsi="Times New Roman"/>
          <w:b/>
          <w:bCs/>
          <w:sz w:val="26"/>
          <w:szCs w:val="26"/>
        </w:rPr>
        <w:t xml:space="preserve">3. Method</w:t>
      </w:r>
    </w:p>
    <w:p>
      <w:pPr>
        <w:spacing w:after="120" w:line="276"/>
        <w:ind w:firstLine="360"/>
        <w:jc w:val="both"/>
      </w:pPr>
      <w:r>
        <w:rPr>
          <w:rFonts w:ascii="Times New Roman" w:cs="Times New Roman" w:eastAsia="Times New Roman" w:hAnsi="Times New Roman"/>
          <w:sz w:val="22"/>
          <w:szCs w:val="22"/>
        </w:rPr>
        <w:t xml:space="preserve">Pragnosia integrates six components: (1) multi-dimensional intrinsic learning, (2) Hebbian expert gating with stability guarantees, (3) controlled neuroplasticity, (4) asynchronous micro-sleep, (5) homeostatic regulation, and (6) perceptual distillation for multimodal processing.</w:t>
      </w:r>
    </w:p>
    <w:p>
      <w:pPr>
        <w:spacing w:before="240" w:after="120"/>
      </w:pPr>
      <w:r>
        <w:rPr>
          <w:rFonts w:ascii="Times New Roman" w:cs="Times New Roman" w:eastAsia="Times New Roman" w:hAnsi="Times New Roman"/>
          <w:b/>
          <w:bCs/>
          <w:sz w:val="24"/>
          <w:szCs w:val="24"/>
        </w:rPr>
        <w:t xml:space="preserve">3.1 Architecture Overview</w:t>
      </w:r>
    </w:p>
    <w:p>
      <w:pPr>
        <w:spacing w:after="120" w:line="276"/>
        <w:ind w:firstLine="360"/>
        <w:jc w:val="both"/>
      </w:pPr>
      <w:r>
        <w:rPr>
          <w:rFonts w:ascii="Times New Roman" w:cs="Times New Roman" w:eastAsia="Times New Roman" w:hAnsi="Times New Roman"/>
          <w:sz w:val="22"/>
          <w:szCs w:val="22"/>
        </w:rPr>
        <w:t xml:space="preserve">The architecture comprises a lightweight router (~100MB, always GPU-resident), expert modules (~500MB each, CPU-stored with on-demand loading), and memory systems (hippocampus ~50MB, neocortex ~100MB). Maximum GPU usage is 2.8GB with 2 active experts, enabling 4GB deployment.</w:t>
      </w:r>
    </w:p>
    <w:p>
      <w:pPr>
        <w:spacing w:before="240" w:after="120"/>
      </w:pPr>
      <w:r>
        <w:rPr>
          <w:rFonts w:ascii="Times New Roman" w:cs="Times New Roman" w:eastAsia="Times New Roman" w:hAnsi="Times New Roman"/>
          <w:b/>
          <w:bCs/>
          <w:sz w:val="24"/>
          <w:szCs w:val="24"/>
        </w:rPr>
        <w:t xml:space="preserve">3.2 Multi-Dimensional Intrinsic Learning</w:t>
      </w:r>
    </w:p>
    <w:p>
      <w:pPr>
        <w:spacing w:after="120" w:line="276"/>
        <w:ind w:firstLine="360"/>
        <w:jc w:val="both"/>
      </w:pPr>
      <w:r>
        <w:rPr>
          <w:rFonts w:ascii="Times New Roman" w:cs="Times New Roman" w:eastAsia="Times New Roman" w:hAnsi="Times New Roman"/>
          <w:sz w:val="22"/>
          <w:szCs w:val="22"/>
        </w:rPr>
        <w:t xml:space="preserve">We explicitly scope our learning framework to representation learning and continual adaptation—not value alignment, which remains the domain of RLHF. Our intrinsic objective combines four components:</w:t>
      </w:r>
    </w:p>
    <w:p>
      <w:pPr>
        <w:spacing w:before="180" w:after="100"/>
      </w:pPr>
      <w:r>
        <w:rPr>
          <w:rFonts w:ascii="Times New Roman" w:cs="Times New Roman" w:eastAsia="Times New Roman" w:hAnsi="Times New Roman"/>
          <w:b/>
          <w:bCs/>
          <w:i/>
          <w:iCs/>
          <w:sz w:val="22"/>
          <w:szCs w:val="22"/>
        </w:rPr>
        <w:t xml:space="preserve">3.2.1 Surprise-Weighted Prediction Error</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L_surprise = Σ_t -log p(x_t) · ||h_t - f(h_{t-1})||²</w:t>
      </w:r>
      <w:r>
        <w:rPr>
          <w:rFonts w:ascii="Times New Roman" w:cs="Times New Roman" w:eastAsia="Times New Roman" w:hAnsi="Times New Roman"/>
          <w:sz w:val="22"/>
          <w:szCs w:val="22"/>
        </w:rPr>
        <w:t xml:space="preserve">	(1)</w:t>
      </w:r>
    </w:p>
    <w:p>
      <w:pPr>
        <w:spacing w:after="120" w:line="276"/>
        <w:ind w:firstLine="360"/>
        <w:jc w:val="both"/>
      </w:pPr>
      <w:r>
        <w:rPr>
          <w:rFonts w:ascii="Times New Roman" w:cs="Times New Roman" w:eastAsia="Times New Roman" w:hAnsi="Times New Roman"/>
          <w:sz w:val="22"/>
          <w:szCs w:val="22"/>
        </w:rPr>
        <w:t xml:space="preserve">This focuses learning on unexpected inputs, implementing curiosity-driven prioritization.</w:t>
      </w:r>
    </w:p>
    <w:p>
      <w:pPr>
        <w:spacing w:before="180" w:after="100"/>
      </w:pPr>
      <w:r>
        <w:rPr>
          <w:rFonts w:ascii="Times New Roman" w:cs="Times New Roman" w:eastAsia="Times New Roman" w:hAnsi="Times New Roman"/>
          <w:b/>
          <w:bCs/>
          <w:i/>
          <w:iCs/>
          <w:sz w:val="22"/>
          <w:szCs w:val="22"/>
        </w:rPr>
        <w:t xml:space="preserve">3.2.2 Temporal Consistency Loss</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L_temporal = ||h_t - sg(h_{t-1})||² · I[same_context]</w:t>
      </w:r>
      <w:r>
        <w:rPr>
          <w:rFonts w:ascii="Times New Roman" w:cs="Times New Roman" w:eastAsia="Times New Roman" w:hAnsi="Times New Roman"/>
          <w:sz w:val="22"/>
          <w:szCs w:val="22"/>
        </w:rPr>
        <w:t xml:space="preserve">	(2)</w:t>
      </w:r>
    </w:p>
    <w:p>
      <w:pPr>
        <w:spacing w:after="120" w:line="276"/>
        <w:ind w:firstLine="360"/>
        <w:jc w:val="both"/>
      </w:pPr>
      <w:r>
        <w:rPr>
          <w:rFonts w:ascii="Times New Roman" w:cs="Times New Roman" w:eastAsia="Times New Roman" w:hAnsi="Times New Roman"/>
          <w:sz w:val="22"/>
          <w:szCs w:val="22"/>
        </w:rPr>
        <w:t xml:space="preserve">This encourages stable representations within contexts while permitting discontinuities at boundaries.</w:t>
      </w:r>
    </w:p>
    <w:p>
      <w:pPr>
        <w:spacing w:before="180" w:after="100"/>
      </w:pPr>
      <w:r>
        <w:rPr>
          <w:rFonts w:ascii="Times New Roman" w:cs="Times New Roman" w:eastAsia="Times New Roman" w:hAnsi="Times New Roman"/>
          <w:b/>
          <w:bCs/>
          <w:i/>
          <w:iCs/>
          <w:sz w:val="22"/>
          <w:szCs w:val="22"/>
        </w:rPr>
        <w:t xml:space="preserve">3.2.3 Cross-Expert Disagreement</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L_disagreement = Var_e[f_e(x)] · I[high_uncertainty]</w:t>
      </w:r>
      <w:r>
        <w:rPr>
          <w:rFonts w:ascii="Times New Roman" w:cs="Times New Roman" w:eastAsia="Times New Roman" w:hAnsi="Times New Roman"/>
          <w:sz w:val="22"/>
          <w:szCs w:val="22"/>
        </w:rPr>
        <w:t xml:space="preserve">	(3)</w:t>
      </w:r>
    </w:p>
    <w:p>
      <w:pPr>
        <w:spacing w:after="120" w:line="276"/>
        <w:ind w:firstLine="360"/>
        <w:jc w:val="both"/>
      </w:pPr>
      <w:r>
        <w:rPr>
          <w:rFonts w:ascii="Times New Roman" w:cs="Times New Roman" w:eastAsia="Times New Roman" w:hAnsi="Times New Roman"/>
          <w:sz w:val="22"/>
          <w:szCs w:val="22"/>
        </w:rPr>
        <w:t xml:space="preserve">Internal cognitive conflict provides learning signal when experts disagree on uncertain inputs.</w:t>
      </w:r>
    </w:p>
    <w:p>
      <w:pPr>
        <w:spacing w:before="180" w:after="100"/>
      </w:pPr>
      <w:r>
        <w:rPr>
          <w:rFonts w:ascii="Times New Roman" w:cs="Times New Roman" w:eastAsia="Times New Roman" w:hAnsi="Times New Roman"/>
          <w:b/>
          <w:bCs/>
          <w:i/>
          <w:iCs/>
          <w:sz w:val="22"/>
          <w:szCs w:val="22"/>
        </w:rPr>
        <w:t xml:space="preserve">3.2.4 Compression Progress</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L_compression = ΔL_pred / Δt</w:t>
      </w:r>
      <w:r>
        <w:rPr>
          <w:rFonts w:ascii="Times New Roman" w:cs="Times New Roman" w:eastAsia="Times New Roman" w:hAnsi="Times New Roman"/>
          <w:sz w:val="22"/>
          <w:szCs w:val="22"/>
        </w:rPr>
        <w:t xml:space="preserve">	(4)</w:t>
      </w:r>
    </w:p>
    <w:p>
      <w:pPr>
        <w:spacing w:after="120" w:line="276"/>
        <w:ind w:firstLine="360"/>
        <w:jc w:val="both"/>
      </w:pPr>
      <w:r>
        <w:rPr>
          <w:rFonts w:ascii="Times New Roman" w:cs="Times New Roman" w:eastAsia="Times New Roman" w:hAnsi="Times New Roman"/>
          <w:sz w:val="22"/>
          <w:szCs w:val="22"/>
        </w:rPr>
        <w:t xml:space="preserve">Improvement in prediction provides intrinsic reward following Schmidhuber (1991).</w:t>
      </w:r>
    </w:p>
    <w:p>
      <w:pPr>
        <w:spacing w:after="120" w:line="276"/>
        <w:ind w:firstLine="360"/>
        <w:jc w:val="both"/>
      </w:pPr>
      <w:r>
        <w:rPr>
          <w:rFonts w:ascii="Times New Roman" w:cs="Times New Roman" w:eastAsia="Times New Roman" w:hAnsi="Times New Roman"/>
          <w:sz w:val="22"/>
          <w:szCs w:val="22"/>
        </w:rPr>
        <w:t xml:space="preserve">The total objective uses learned weights:</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L_intrinsic = α·L_surprise + β·L_temporal + γ·L_disagreement + δ·L_compression</w:t>
      </w:r>
      <w:r>
        <w:rPr>
          <w:rFonts w:ascii="Times New Roman" w:cs="Times New Roman" w:eastAsia="Times New Roman" w:hAnsi="Times New Roman"/>
          <w:sz w:val="22"/>
          <w:szCs w:val="22"/>
        </w:rPr>
        <w:t xml:space="preserve">	(5)</w:t>
      </w:r>
    </w:p>
    <w:p>
      <w:pPr>
        <w:spacing w:after="120" w:line="276"/>
        <w:ind w:firstLine="360"/>
        <w:jc w:val="both"/>
      </w:pPr>
      <w:r>
        <w:rPr>
          <w:rFonts w:ascii="Times New Roman" w:cs="Times New Roman" w:eastAsia="Times New Roman" w:hAnsi="Times New Roman"/>
          <w:sz w:val="22"/>
          <w:szCs w:val="22"/>
        </w:rPr>
        <w:t xml:space="preserve">We provide comprehensive ablation (Section 4.5) demonstrating that learned weighting outperforms fixed weights, and that all components contribute to performance.</w:t>
      </w:r>
    </w:p>
    <w:p>
      <w:pPr>
        <w:spacing w:before="240" w:after="120"/>
      </w:pPr>
      <w:r>
        <w:rPr>
          <w:rFonts w:ascii="Times New Roman" w:cs="Times New Roman" w:eastAsia="Times New Roman" w:hAnsi="Times New Roman"/>
          <w:b/>
          <w:bCs/>
          <w:sz w:val="24"/>
          <w:szCs w:val="24"/>
        </w:rPr>
        <w:t xml:space="preserve">3.3 Hebbian Expert Gating with Stability Guarantees</w:t>
      </w:r>
    </w:p>
    <w:p>
      <w:pPr>
        <w:spacing w:after="120" w:line="276"/>
        <w:ind w:firstLine="360"/>
        <w:jc w:val="both"/>
      </w:pPr>
      <w:r>
        <w:rPr>
          <w:rFonts w:ascii="Times New Roman" w:cs="Times New Roman" w:eastAsia="Times New Roman" w:hAnsi="Times New Roman"/>
          <w:sz w:val="22"/>
          <w:szCs w:val="22"/>
        </w:rPr>
        <w:t xml:space="preserve">Standard MoE routing uses backpropagation through learned gates. We replace this with Hebbian gating based on local correlation between input features and expert error reduction:</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Δr_e = η_r · corr(φ(x), ΔL_e)</w:t>
      </w:r>
      <w:r>
        <w:rPr>
          <w:rFonts w:ascii="Times New Roman" w:cs="Times New Roman" w:eastAsia="Times New Roman" w:hAnsi="Times New Roman"/>
          <w:sz w:val="22"/>
          <w:szCs w:val="22"/>
        </w:rPr>
        <w:t xml:space="preserve">	(6)</w:t>
      </w:r>
    </w:p>
    <w:p>
      <w:pPr>
        <w:spacing w:after="120" w:line="276"/>
        <w:ind w:firstLine="360"/>
        <w:jc w:val="both"/>
      </w:pPr>
      <w:r>
        <w:rPr>
          <w:rFonts w:ascii="Times New Roman" w:cs="Times New Roman" w:eastAsia="Times New Roman" w:hAnsi="Times New Roman"/>
          <w:sz w:val="22"/>
          <w:szCs w:val="22"/>
        </w:rPr>
        <w:t xml:space="preserve">where φ(x) are input features and ΔL_e is error reduction when expert e is active. This is fully local: each expert's routing score updates based only on its own performance correlation.</w:t>
      </w:r>
    </w:p>
    <w:p>
      <w:pPr>
        <w:spacing w:before="180" w:after="100"/>
      </w:pPr>
      <w:r>
        <w:rPr>
          <w:rFonts w:ascii="Times New Roman" w:cs="Times New Roman" w:eastAsia="Times New Roman" w:hAnsi="Times New Roman"/>
          <w:b/>
          <w:bCs/>
          <w:i/>
          <w:iCs/>
          <w:sz w:val="22"/>
          <w:szCs w:val="22"/>
        </w:rPr>
        <w:t xml:space="preserve">3.3.1 Winner-Take-Most with Lateral Inhibition</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a_e = ReLU(r_e - θ - Σ_{e'≠e} w_{ee'} · a_{e'})</w:t>
      </w:r>
      <w:r>
        <w:rPr>
          <w:rFonts w:ascii="Times New Roman" w:cs="Times New Roman" w:eastAsia="Times New Roman" w:hAnsi="Times New Roman"/>
          <w:sz w:val="22"/>
          <w:szCs w:val="22"/>
        </w:rPr>
        <w:t xml:space="preserve">	(7)</w:t>
      </w:r>
    </w:p>
    <w:p>
      <w:pPr>
        <w:spacing w:after="120" w:line="276"/>
        <w:ind w:firstLine="360"/>
        <w:jc w:val="both"/>
      </w:pPr>
      <w:r>
        <w:rPr>
          <w:rFonts w:ascii="Times New Roman" w:cs="Times New Roman" w:eastAsia="Times New Roman" w:hAnsi="Times New Roman"/>
          <w:sz w:val="22"/>
          <w:szCs w:val="22"/>
        </w:rPr>
        <w:t xml:space="preserve">Sparse competition replaces softmax, producing stable expert selection through iterative settling.</w:t>
      </w:r>
    </w:p>
    <w:p>
      <w:pPr>
        <w:spacing w:before="180" w:after="100"/>
      </w:pPr>
      <w:r>
        <w:rPr>
          <w:rFonts w:ascii="Times New Roman" w:cs="Times New Roman" w:eastAsia="Times New Roman" w:hAnsi="Times New Roman"/>
          <w:b/>
          <w:bCs/>
          <w:i/>
          <w:iCs/>
          <w:sz w:val="22"/>
          <w:szCs w:val="22"/>
        </w:rPr>
        <w:t xml:space="preserve">3.3.2 Stability Analysis</w:t>
      </w:r>
    </w:p>
    <w:p>
      <w:pPr>
        <w:spacing w:after="120" w:line="276"/>
        <w:ind w:firstLine="360"/>
        <w:jc w:val="both"/>
      </w:pPr>
      <w:r>
        <w:rPr>
          <w:rFonts w:ascii="Times New Roman" w:cs="Times New Roman" w:eastAsia="Times New Roman" w:hAnsi="Times New Roman"/>
          <w:sz w:val="22"/>
          <w:szCs w:val="22"/>
        </w:rPr>
        <w:t xml:space="preserve">A natural concern is whether Hebbian routing converges or exhibits pathological dynamics. We provide the following stability guarantee:</w:t>
      </w:r>
    </w:p>
    <w:p>
      <w:pPr>
        <w:spacing w:before="150" w:after="15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1"/>
              <w:left w:val="single" w:color="000000" w:sz="1"/>
              <w:bottom w:val="single" w:color="000000" w:sz="1"/>
              <w:right w:val="single" w:color="000000" w:sz="1"/>
            </w:tcBorders>
            <w:shd w:fill="F5F5F5" w:val="clear"/>
          </w:tcPr>
          <w:p>
            <w:pPr>
              <w:spacing w:after="80"/>
            </w:pPr>
            <w:r>
              <w:rPr>
                <w:rFonts w:ascii="Times New Roman" w:cs="Times New Roman" w:eastAsia="Times New Roman" w:hAnsi="Times New Roman"/>
                <w:b/>
                <w:bCs/>
                <w:sz w:val="22"/>
                <w:szCs w:val="22"/>
              </w:rPr>
              <w:t xml:space="preserve">Proposition 1 (Hebbian Routing Stability).</w:t>
            </w:r>
          </w:p>
          <w:p>
            <w:pPr>
              <w:spacing w:after="0"/>
              <w:jc w:val="both"/>
            </w:pPr>
            <w:r>
              <w:rPr>
                <w:rFonts w:ascii="Times New Roman" w:cs="Times New Roman" w:eastAsia="Times New Roman" w:hAnsi="Times New Roman"/>
                <w:sz w:val="21"/>
                <w:szCs w:val="21"/>
              </w:rPr>
              <w:t xml:space="preserve">Under stationary input distributions, Hebbian routing scores converge to a stable fixed point. This follows from three properties: (1) Error reduction ΔL_e is bounded below by zero (loss cannot become negative), providing a natural floor; (2) Lateral inhibition enforces competition, preventing multiple experts from achieving maximum routing scores simultaneously; (3) Homeostatic penalties (Section 3.5) suppress runaway routing dominance by penalizing low expert entropy. Together, these ensure that routing updates approximate stochastic gradient ascent on a bounded, concave objective with implicit normalization. Convergence follows from standard results on stochastic approximation with bounded updates (Robbins &amp; Monro, 1951).</w:t>
            </w:r>
          </w:p>
        </w:tc>
      </w:tr>
    </w:tbl>
    <w:p>
      <w:pPr>
        <w:spacing w:before="150" w:after="150"/>
      </w:pPr>
    </w:p>
    <w:p>
      <w:pPr>
        <w:spacing w:after="120" w:line="276"/>
        <w:ind w:firstLine="360"/>
        <w:jc w:val="both"/>
      </w:pPr>
      <w:r>
        <w:rPr>
          <w:rFonts w:ascii="Times New Roman" w:cs="Times New Roman" w:eastAsia="Times New Roman" w:hAnsi="Times New Roman"/>
          <w:sz w:val="22"/>
          <w:szCs w:val="22"/>
        </w:rPr>
        <w:t xml:space="preserve">Empirically, we observe stable routing entropy throughout training (Section 4.4), with no collapse to single-expert mode.</w:t>
      </w:r>
    </w:p>
    <w:p>
      <w:pPr>
        <w:spacing w:before="240" w:after="120"/>
      </w:pPr>
      <w:r>
        <w:rPr>
          <w:rFonts w:ascii="Times New Roman" w:cs="Times New Roman" w:eastAsia="Times New Roman" w:hAnsi="Times New Roman"/>
          <w:b/>
          <w:bCs/>
          <w:sz w:val="24"/>
          <w:szCs w:val="24"/>
        </w:rPr>
        <w:t xml:space="preserve">3.4 Controlled Neuroplasticity</w:t>
      </w:r>
    </w:p>
    <w:p>
      <w:pPr>
        <w:spacing w:after="120" w:line="276"/>
        <w:ind w:firstLine="360"/>
        <w:jc w:val="both"/>
      </w:pPr>
      <w:r>
        <w:rPr>
          <w:rFonts w:ascii="Times New Roman" w:cs="Times New Roman" w:eastAsia="Times New Roman" w:hAnsi="Times New Roman"/>
          <w:sz w:val="22"/>
          <w:szCs w:val="22"/>
        </w:rPr>
        <w:t xml:space="preserve">Uncontrolled structural plasticity risks training instability. We address this through explicit developmental phases:</w:t>
      </w:r>
    </w:p>
    <w:p>
      <w:pPr>
        <w:spacing w:before="200" w:after="10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Plasticity Phases and Permitted Operations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Phase</w:t>
            </w:r>
          </w:p>
        </w:tc>
        <w:tc>
          <w:tcPr>
            <w:tcW w:type="dxa" w:w="234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Growth</w:t>
            </w:r>
          </w:p>
        </w:tc>
        <w:tc>
          <w:tcPr>
            <w:tcW w:type="dxa" w:w="234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Pruning</w:t>
            </w:r>
          </w:p>
        </w:tc>
        <w:tc>
          <w:tcPr>
            <w:tcW w:type="dxa" w:w="234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Duration</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Exploration</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Enabled</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Disabled</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0-30%</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Stabilization</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Disabled</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Enabled</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30-70%</w:t>
            </w:r>
          </w:p>
        </w:tc>
      </w:tr>
      <w:tr>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Exploitation</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Disabled</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Disabled</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70-100%</w:t>
            </w:r>
          </w:p>
        </w:tc>
      </w:tr>
    </w:tbl>
    <w:p>
      <w:pPr>
        <w:spacing w:after="150"/>
      </w:pPr>
    </w:p>
    <w:p>
      <w:pPr>
        <w:spacing w:after="120" w:line="276"/>
        <w:ind w:firstLine="360"/>
        <w:jc w:val="both"/>
      </w:pPr>
      <w:r>
        <w:rPr>
          <w:rFonts w:ascii="Times New Roman" w:cs="Times New Roman" w:eastAsia="Times New Roman" w:hAnsi="Times New Roman"/>
          <w:sz w:val="22"/>
          <w:szCs w:val="22"/>
        </w:rPr>
        <w:t xml:space="preserve">Structural safety bounds maintain invariants: active parameters in [30%, 90%], expert entropy above minimum threshold, and bounded growth/pruning rates per step.</w:t>
      </w:r>
    </w:p>
    <w:p>
      <w:pPr>
        <w:spacing w:before="240" w:after="120"/>
      </w:pPr>
      <w:r>
        <w:rPr>
          <w:rFonts w:ascii="Times New Roman" w:cs="Times New Roman" w:eastAsia="Times New Roman" w:hAnsi="Times New Roman"/>
          <w:b/>
          <w:bCs/>
          <w:sz w:val="24"/>
          <w:szCs w:val="24"/>
        </w:rPr>
        <w:t xml:space="preserve">3.5 Homeostatic Regulation</w:t>
      </w:r>
    </w:p>
    <w:p>
      <w:pPr>
        <w:spacing w:after="120" w:line="276"/>
        <w:ind w:firstLine="360"/>
        <w:jc w:val="both"/>
      </w:pPr>
      <w:r>
        <w:rPr>
          <w:rFonts w:ascii="Times New Roman" w:cs="Times New Roman" w:eastAsia="Times New Roman" w:hAnsi="Times New Roman"/>
          <w:sz w:val="22"/>
          <w:szCs w:val="22"/>
        </w:rPr>
        <w:t xml:space="preserve">A minimal homeostatic objective maintains operational stability:</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L_homeostatic = λ_u·H(uncertainty) + λ_s·H(surprise) + λ_c·churn(experts)</w:t>
      </w:r>
      <w:r>
        <w:rPr>
          <w:rFonts w:ascii="Times New Roman" w:cs="Times New Roman" w:eastAsia="Times New Roman" w:hAnsi="Times New Roman"/>
          <w:sz w:val="22"/>
          <w:szCs w:val="22"/>
        </w:rPr>
        <w:t xml:space="preserve">	(8)</w:t>
      </w:r>
    </w:p>
    <w:p>
      <w:pPr>
        <w:spacing w:after="120" w:line="276"/>
        <w:ind w:firstLine="360"/>
        <w:jc w:val="both"/>
      </w:pPr>
      <w:r>
        <w:rPr>
          <w:rFonts w:ascii="Times New Roman" w:cs="Times New Roman" w:eastAsia="Times New Roman" w:hAnsi="Times New Roman"/>
          <w:sz w:val="22"/>
          <w:szCs w:val="22"/>
        </w:rPr>
        <w:t xml:space="preserve">This penalizes excessive uncertainty, surprise, and expert churn—not as reward learning, but as metabolic constraint ensuring stable operation.</w:t>
      </w:r>
    </w:p>
    <w:p>
      <w:pPr>
        <w:spacing w:before="240" w:after="120"/>
      </w:pPr>
      <w:r>
        <w:rPr>
          <w:rFonts w:ascii="Times New Roman" w:cs="Times New Roman" w:eastAsia="Times New Roman" w:hAnsi="Times New Roman"/>
          <w:b/>
          <w:bCs/>
          <w:sz w:val="24"/>
          <w:szCs w:val="24"/>
        </w:rPr>
        <w:t xml:space="preserve">3.6 Asynchronous Micro-Sleep Consolidation</w:t>
      </w:r>
    </w:p>
    <w:p>
      <w:pPr>
        <w:spacing w:after="120" w:line="276"/>
        <w:ind w:firstLine="360"/>
        <w:jc w:val="both"/>
      </w:pPr>
      <w:r>
        <w:rPr>
          <w:rFonts w:ascii="Times New Roman" w:cs="Times New Roman" w:eastAsia="Times New Roman" w:hAnsi="Times New Roman"/>
          <w:sz w:val="22"/>
          <w:szCs w:val="22"/>
        </w:rPr>
        <w:t xml:space="preserve">Prior sleep-based consolidation introduces 30-second latency per cycle. We replace this with asynchronous micro-sleep:</w:t>
      </w:r>
    </w:p>
    <w:p>
      <w:pPr>
        <w:pStyle w:val="ListParagraph"/>
        <w:numPr>
          <w:ilvl w:val="0"/>
          <w:numId w:val="3"/>
        </w:numPr>
        <w:spacing w:after="80" w:line="276"/>
      </w:pPr>
      <w:r>
        <w:rPr>
          <w:rFonts w:ascii="Times New Roman" w:cs="Times New Roman" w:eastAsia="Times New Roman" w:hAnsi="Times New Roman"/>
          <w:sz w:val="22"/>
          <w:szCs w:val="22"/>
        </w:rPr>
        <w:t xml:space="preserve">Background CUDA stream: Consolidation overlaps with forward passes on separate stream.</w:t>
      </w:r>
    </w:p>
    <w:p>
      <w:pPr>
        <w:pStyle w:val="ListParagraph"/>
        <w:numPr>
          <w:ilvl w:val="0"/>
          <w:numId w:val="3"/>
        </w:numPr>
        <w:spacing w:after="80" w:line="276"/>
      </w:pPr>
      <w:r>
        <w:rPr>
          <w:rFonts w:ascii="Times New Roman" w:cs="Times New Roman" w:eastAsia="Times New Roman" w:hAnsi="Times New Roman"/>
          <w:sz w:val="22"/>
          <w:szCs w:val="22"/>
        </w:rPr>
        <w:t xml:space="preserve">Micro-batches: 1-2 hippocampal samples per forward pass (&lt;1ms overhead).</w:t>
      </w:r>
    </w:p>
    <w:p>
      <w:pPr>
        <w:pStyle w:val="ListParagraph"/>
        <w:numPr>
          <w:ilvl w:val="0"/>
          <w:numId w:val="3"/>
        </w:numPr>
        <w:spacing w:after="80" w:line="276"/>
      </w:pPr>
      <w:r>
        <w:rPr>
          <w:rFonts w:ascii="Times New Roman" w:cs="Times New Roman" w:eastAsia="Times New Roman" w:hAnsi="Times New Roman"/>
          <w:sz w:val="22"/>
          <w:szCs w:val="22"/>
        </w:rPr>
        <w:t xml:space="preserve">Event-triggered intensive: Full consolidation only on distribution shift or error spike.</w:t>
      </w:r>
    </w:p>
    <w:p>
      <w:pPr>
        <w:pStyle w:val="ListParagraph"/>
        <w:numPr>
          <w:ilvl w:val="0"/>
          <w:numId w:val="3"/>
        </w:numPr>
        <w:spacing w:after="200" w:line="276"/>
      </w:pPr>
      <w:r>
        <w:rPr>
          <w:rFonts w:ascii="Times New Roman" w:cs="Times New Roman" w:eastAsia="Times New Roman" w:hAnsi="Times New Roman"/>
          <w:sz w:val="22"/>
          <w:szCs w:val="22"/>
        </w:rPr>
        <w:t xml:space="preserve">Selective transfer: Only high-replay, low-error memories consolidated to neocortex.</w:t>
      </w:r>
    </w:p>
    <w:p>
      <w:pPr>
        <w:spacing w:before="240" w:after="120"/>
      </w:pPr>
      <w:r>
        <w:rPr>
          <w:rFonts w:ascii="Times New Roman" w:cs="Times New Roman" w:eastAsia="Times New Roman" w:hAnsi="Times New Roman"/>
          <w:b/>
          <w:bCs/>
          <w:sz w:val="24"/>
          <w:szCs w:val="24"/>
        </w:rPr>
        <w:t xml:space="preserve">3.7 Perceptual Distillation for Multimodal Processing</w:t>
      </w:r>
    </w:p>
    <w:p>
      <w:pPr>
        <w:spacing w:after="120" w:line="276"/>
        <w:ind w:firstLine="360"/>
        <w:jc w:val="both"/>
      </w:pPr>
      <w:r>
        <w:rPr>
          <w:rFonts w:ascii="Times New Roman" w:cs="Times New Roman" w:eastAsia="Times New Roman" w:hAnsi="Times New Roman"/>
          <w:sz w:val="22"/>
          <w:szCs w:val="22"/>
        </w:rPr>
        <w:t xml:space="preserve">Lightweight encoders (~30-50MB) may underperform specialized large models. We address this through perceptual distillation:</w:t>
      </w:r>
    </w:p>
    <w:p>
      <w:pPr>
        <w:tabs>
          <w:tab w:val="center" w:pos="4680"/>
          <w:tab w:val="right" w:pos="9000"/>
        </w:tabs>
        <w:spacing w:before="150" w:after="150"/>
        <w:jc w:val="center"/>
      </w:pPr>
      <w:r>
        <w:rPr>
          <w:rFonts w:ascii="Times New Roman" w:cs="Times New Roman" w:eastAsia="Times New Roman" w:hAnsi="Times New Roman"/>
        </w:rPr>
        <w:t xml:space="preserve">	</w:t>
      </w:r>
      <w:r>
        <w:rPr>
          <w:rFonts w:ascii="Times New Roman" w:cs="Times New Roman" w:eastAsia="Times New Roman" w:hAnsi="Times New Roman"/>
          <w:i/>
          <w:iCs/>
          <w:sz w:val="22"/>
          <w:szCs w:val="22"/>
        </w:rPr>
        <w:t xml:space="preserve">L_distill = ||f_student(x) - sg(f_teacher(x))||²</w:t>
      </w:r>
      <w:r>
        <w:rPr>
          <w:rFonts w:ascii="Times New Roman" w:cs="Times New Roman" w:eastAsia="Times New Roman" w:hAnsi="Times New Roman"/>
          <w:sz w:val="22"/>
          <w:szCs w:val="22"/>
        </w:rPr>
        <w:t xml:space="preserve">	(9)</w:t>
      </w:r>
    </w:p>
    <w:p>
      <w:pPr>
        <w:spacing w:after="120" w:line="276"/>
        <w:ind w:firstLine="360"/>
        <w:jc w:val="both"/>
      </w:pPr>
      <w:r>
        <w:rPr>
          <w:rFonts w:ascii="Times New Roman" w:cs="Times New Roman" w:eastAsia="Times New Roman" w:hAnsi="Times New Roman"/>
          <w:sz w:val="22"/>
          <w:szCs w:val="22"/>
        </w:rPr>
        <w:t xml:space="preserve">Periodically, we distill from frozen large encoders (CLIP for vision, Whisper for audio) to update student representations. Runtime inference uses only lightweight students. We provide quantitative evaluation in Section 4.7.</w:t>
      </w:r>
    </w:p>
    <w:p>
      <w:pPr>
        <w:spacing w:before="240" w:after="120"/>
      </w:pPr>
      <w:r>
        <w:rPr>
          <w:rFonts w:ascii="Times New Roman" w:cs="Times New Roman" w:eastAsia="Times New Roman" w:hAnsi="Times New Roman"/>
          <w:b/>
          <w:bCs/>
          <w:sz w:val="24"/>
          <w:szCs w:val="24"/>
        </w:rPr>
        <w:t xml:space="preserve">3.8 Complexity Analysis</w:t>
      </w:r>
    </w:p>
    <w:p>
      <w:pPr>
        <w:spacing w:before="200" w:after="10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Computational Complexity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Component</w:t>
            </w:r>
          </w:p>
        </w:tc>
        <w:tc>
          <w:tcPr>
            <w:tcW w:type="dxa" w:w="312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Complexity</w:t>
            </w:r>
          </w:p>
        </w:tc>
        <w:tc>
          <w:tcPr>
            <w:tcW w:type="dxa" w:w="312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Notes</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Router network</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O(1)</w:t>
            </w:r>
          </w:p>
        </w:tc>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Fixed size</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Active computation</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O(k)</w:t>
            </w:r>
          </w:p>
        </w:tc>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 = active experts (2)</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GPU memory</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O(k)</w:t>
            </w:r>
          </w:p>
        </w:tc>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Only active experts loaded</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Total parameters</w:t>
            </w:r>
          </w:p>
        </w:tc>
        <w:tc>
          <w:tcPr>
            <w:tcW w:type="dxa" w:w="312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O(n)</w:t>
            </w:r>
          </w:p>
        </w:tc>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 experts on CPU</w:t>
            </w:r>
          </w:p>
        </w:tc>
      </w:tr>
    </w:tbl>
    <w:p>
      <w:pPr>
        <w:spacing w:after="200"/>
      </w:pPr>
    </w:p>
    <w:p>
      <w:r>
        <w:br w:type="page"/>
      </w:r>
    </w:p>
    <w:p>
      <w:pPr>
        <w:spacing w:before="300" w:after="150"/>
      </w:pPr>
      <w:r>
        <w:rPr>
          <w:rFonts w:ascii="Times New Roman" w:cs="Times New Roman" w:eastAsia="Times New Roman" w:hAnsi="Times New Roman"/>
          <w:b/>
          <w:bCs/>
          <w:sz w:val="26"/>
          <w:szCs w:val="26"/>
        </w:rPr>
        <w:t xml:space="preserve">4. Experiments</w:t>
      </w:r>
    </w:p>
    <w:p>
      <w:pPr>
        <w:spacing w:before="240" w:after="120"/>
      </w:pPr>
      <w:r>
        <w:rPr>
          <w:rFonts w:ascii="Times New Roman" w:cs="Times New Roman" w:eastAsia="Times New Roman" w:hAnsi="Times New Roman"/>
          <w:b/>
          <w:bCs/>
          <w:sz w:val="24"/>
          <w:szCs w:val="24"/>
        </w:rPr>
        <w:t xml:space="preserve">4.1 Experimental Setup</w:t>
      </w:r>
    </w:p>
    <w:p>
      <w:pPr>
        <w:spacing w:after="120" w:line="276"/>
        <w:ind w:firstLine="360"/>
        <w:jc w:val="both"/>
      </w:pPr>
      <w:r>
        <w:rPr>
          <w:rFonts w:ascii="Times New Roman" w:cs="Times New Roman" w:eastAsia="Times New Roman" w:hAnsi="Times New Roman"/>
          <w:sz w:val="22"/>
          <w:szCs w:val="22"/>
        </w:rPr>
        <w:t xml:space="preserve">We evaluate Pragnosia on five axes: (1) representation learning quality, (2) continual learning capability, (3) structural stability, (4) intrinsic objective ablation, (5) scaling behavior, (6) Hebbian routing analysis, and (7) multimodal performance. All experiments use NVIDIA RTX 3060 (12GB), constrained to 4GB for deployment validation.</w:t>
      </w:r>
    </w:p>
    <w:p>
      <w:pPr>
        <w:spacing w:before="240" w:after="120"/>
      </w:pPr>
      <w:r>
        <w:rPr>
          <w:rFonts w:ascii="Times New Roman" w:cs="Times New Roman" w:eastAsia="Times New Roman" w:hAnsi="Times New Roman"/>
          <w:b/>
          <w:bCs/>
          <w:sz w:val="24"/>
          <w:szCs w:val="24"/>
        </w:rPr>
        <w:t xml:space="preserve">4.2 Representation Learning</w:t>
      </w:r>
    </w:p>
    <w:p>
      <w:pPr>
        <w:spacing w:before="200" w:after="10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Representation Learning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Model</w:t>
            </w:r>
          </w:p>
        </w:tc>
        <w:tc>
          <w:tcPr>
            <w:tcW w:type="dxa" w:w="208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Params</w:t>
            </w:r>
          </w:p>
        </w:tc>
        <w:tc>
          <w:tcPr>
            <w:tcW w:type="dxa" w:w="208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GPU</w:t>
            </w:r>
          </w:p>
        </w:tc>
        <w:tc>
          <w:tcPr>
            <w:tcW w:type="dxa" w:w="208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PPL</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GPT-2 Medium</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355M</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1.4GB</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22.8</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Dense Baseline (4.1B)</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4.1B</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8.2GB</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18.2</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Pragnosia (ours)</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4.1B</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2.8GB</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19.1</w:t>
            </w:r>
          </w:p>
        </w:tc>
      </w:tr>
    </w:tbl>
    <w:p>
      <w:pPr>
        <w:spacing w:after="200"/>
      </w:pPr>
    </w:p>
    <w:p>
      <w:pPr>
        <w:spacing w:after="120" w:line="276"/>
        <w:ind w:firstLine="360"/>
        <w:jc w:val="both"/>
      </w:pPr>
      <w:r>
        <w:rPr>
          <w:rFonts w:ascii="Times New Roman" w:cs="Times New Roman" w:eastAsia="Times New Roman" w:hAnsi="Times New Roman"/>
          <w:sz w:val="22"/>
          <w:szCs w:val="22"/>
        </w:rPr>
        <w:t xml:space="preserve">Pragnosia achieves competitive perplexity (19.1 vs 18.2) using 34% of GPU memory, validating the memory-accuracy tradeoff.</w:t>
      </w:r>
    </w:p>
    <w:p>
      <w:pPr>
        <w:spacing w:before="240" w:after="120"/>
      </w:pPr>
      <w:r>
        <w:rPr>
          <w:rFonts w:ascii="Times New Roman" w:cs="Times New Roman" w:eastAsia="Times New Roman" w:hAnsi="Times New Roman"/>
          <w:b/>
          <w:bCs/>
          <w:sz w:val="24"/>
          <w:szCs w:val="24"/>
        </w:rPr>
        <w:t xml:space="preserve">4.3 Continual Learning</w:t>
      </w:r>
    </w:p>
    <w:p>
      <w:pPr>
        <w:spacing w:before="200" w:after="10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Continual Learning (5-Task Sequential Benchmark)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1170"/>
        <w:gridCol w:w="1170"/>
        <w:gridCol w:w="1170"/>
        <w:gridCol w:w="1170"/>
      </w:tblGrid>
      <w:tr>
        <w:trPr>
          <w:tblHeader/>
        </w:trPr>
        <w:tc>
          <w:tcPr>
            <w:tcW w:type="dxa" w:w="234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Model</w:t>
            </w:r>
          </w:p>
        </w:tc>
        <w:tc>
          <w:tcPr>
            <w:tcW w:type="dxa" w:w="117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T1</w:t>
            </w:r>
          </w:p>
        </w:tc>
        <w:tc>
          <w:tcPr>
            <w:tcW w:type="dxa" w:w="117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T2</w:t>
            </w:r>
          </w:p>
        </w:tc>
        <w:tc>
          <w:tcPr>
            <w:tcW w:type="dxa" w:w="117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T3</w:t>
            </w:r>
          </w:p>
        </w:tc>
        <w:tc>
          <w:tcPr>
            <w:tcW w:type="dxa" w:w="117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T4</w:t>
            </w:r>
          </w:p>
        </w:tc>
        <w:tc>
          <w:tcPr>
            <w:tcW w:type="dxa" w:w="117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T5</w:t>
            </w:r>
          </w:p>
        </w:tc>
        <w:tc>
          <w:tcPr>
            <w:tcW w:type="dxa" w:w="117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Avg</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18"/>
                <w:szCs w:val="18"/>
              </w:rPr>
              <w:t xml:space="preserve">Fine-tuning</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31.2</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42.5</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55.8</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68.3</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89.1</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57.4</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18"/>
                <w:szCs w:val="18"/>
              </w:rPr>
              <w:t xml:space="preserve">EWC</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58.4</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61.2</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64.5</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71.8</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85.3</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68.2</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18"/>
                <w:szCs w:val="18"/>
              </w:rPr>
              <w:t xml:space="preserve">Experience Replay</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72.1</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74.6</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75.2</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78.9</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86.7</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77.5</w:t>
            </w:r>
          </w:p>
        </w:tc>
      </w:tr>
      <w:tr>
        <w:tc>
          <w:tcPr>
            <w:tcW w:type="dxa" w:w="234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18"/>
                <w:szCs w:val="18"/>
              </w:rPr>
              <w:t xml:space="preserve">Pragnosia</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81.3</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83.7</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82.1</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84.5</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88.2</w:t>
            </w:r>
          </w:p>
        </w:tc>
        <w:tc>
          <w:tcPr>
            <w:tcW w:type="dxa" w:w="117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18"/>
                <w:szCs w:val="18"/>
              </w:rPr>
              <w:t xml:space="preserve">84.0</w:t>
            </w:r>
          </w:p>
        </w:tc>
      </w:tr>
    </w:tbl>
    <w:p>
      <w:pPr>
        <w:spacing w:after="200"/>
      </w:pPr>
    </w:p>
    <w:p>
      <w:pPr>
        <w:spacing w:after="120" w:line="276"/>
        <w:ind w:firstLine="360"/>
        <w:jc w:val="both"/>
      </w:pPr>
      <w:r>
        <w:rPr>
          <w:rFonts w:ascii="Times New Roman" w:cs="Times New Roman" w:eastAsia="Times New Roman" w:hAnsi="Times New Roman"/>
          <w:sz w:val="22"/>
          <w:szCs w:val="22"/>
        </w:rPr>
        <w:t xml:space="preserve">Pragnosia achieves 84.0% average accuracy, outperforming experience replay (77.5%) by 6.5 percentage points. Task 1 retention (81.3%) demonstrates effective catastrophic forgetting mitigation.</w:t>
      </w:r>
    </w:p>
    <w:p>
      <w:pPr>
        <w:spacing w:before="240" w:after="120"/>
      </w:pPr>
      <w:r>
        <w:rPr>
          <w:rFonts w:ascii="Times New Roman" w:cs="Times New Roman" w:eastAsia="Times New Roman" w:hAnsi="Times New Roman"/>
          <w:b/>
          <w:bCs/>
          <w:sz w:val="24"/>
          <w:szCs w:val="24"/>
        </w:rPr>
        <w:t xml:space="preserve">4.4 Structural Stability</w:t>
      </w:r>
    </w:p>
    <w:p>
      <w:pPr>
        <w:spacing w:before="200" w:after="100"/>
        <w:jc w:val="center"/>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sz w:val="20"/>
          <w:szCs w:val="20"/>
        </w:rPr>
        <w:t xml:space="preserve">Structural Stability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Metric</w:t>
            </w:r>
          </w:p>
        </w:tc>
        <w:tc>
          <w:tcPr>
            <w:tcW w:type="dxa" w:w="208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Start</w:t>
            </w:r>
          </w:p>
        </w:tc>
        <w:tc>
          <w:tcPr>
            <w:tcW w:type="dxa" w:w="208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End</w:t>
            </w:r>
          </w:p>
        </w:tc>
        <w:tc>
          <w:tcPr>
            <w:tcW w:type="dxa" w:w="208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Bound</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Active parameters</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70%</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35%</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[30%, 90%]</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Expert entropy</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2.89</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2.74</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&gt; 2.0</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Routing stability (std)</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0.15</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0.08</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&lt; 0.3</w:t>
            </w:r>
          </w:p>
        </w:tc>
      </w:tr>
      <w:tr>
        <w:tc>
          <w:tcPr>
            <w:tcW w:type="dxa" w:w="3120"/>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Safety violations</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0</w:t>
            </w:r>
          </w:p>
        </w:tc>
        <w:tc>
          <w:tcPr>
            <w:tcW w:type="dxa" w:w="208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 0</w:t>
            </w:r>
          </w:p>
        </w:tc>
      </w:tr>
    </w:tbl>
    <w:p>
      <w:pPr>
        <w:spacing w:after="200"/>
      </w:pPr>
    </w:p>
    <w:p>
      <w:pPr>
        <w:spacing w:after="120" w:line="276"/>
        <w:ind w:firstLine="360"/>
        <w:jc w:val="both"/>
      </w:pPr>
      <w:r>
        <w:rPr>
          <w:rFonts w:ascii="Times New Roman" w:cs="Times New Roman" w:eastAsia="Times New Roman" w:hAnsi="Times New Roman"/>
          <w:sz w:val="22"/>
          <w:szCs w:val="22"/>
        </w:rPr>
        <w:t xml:space="preserve">All metrics remained within bounds throughout training. Routing stability improved (std 0.15 → 0.08), validating Proposition 1's convergence prediction. Zero safety violations confirms controlled plasticity effectiveness.</w:t>
      </w:r>
    </w:p>
    <w:p>
      <w:pPr>
        <w:spacing w:before="240" w:after="120"/>
      </w:pPr>
      <w:r>
        <w:rPr>
          <w:rFonts w:ascii="Times New Roman" w:cs="Times New Roman" w:eastAsia="Times New Roman" w:hAnsi="Times New Roman"/>
          <w:b/>
          <w:bCs/>
          <w:sz w:val="24"/>
          <w:szCs w:val="24"/>
        </w:rPr>
        <w:t xml:space="preserve">4.5 Intrinsic Objective Ablation</w:t>
      </w:r>
    </w:p>
    <w:p>
      <w:pPr>
        <w:spacing w:before="200" w:after="100"/>
        <w:jc w:val="center"/>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sz w:val="20"/>
          <w:szCs w:val="20"/>
        </w:rPr>
        <w:t xml:space="preserve">Intrinsic Objective Component Ablation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Configuration</w:t>
            </w:r>
          </w:p>
        </w:tc>
        <w:tc>
          <w:tcPr>
            <w:tcW w:type="dxa" w:w="1872"/>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CL Avg</w:t>
            </w:r>
          </w:p>
        </w:tc>
        <w:tc>
          <w:tcPr>
            <w:tcW w:type="dxa" w:w="1872"/>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PPL</w:t>
            </w:r>
          </w:p>
        </w:tc>
        <w:tc>
          <w:tcPr>
            <w:tcW w:type="dxa" w:w="1872"/>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20"/>
                <w:szCs w:val="20"/>
              </w:rPr>
              <w:t xml:space="preserve">Stability</w:t>
            </w:r>
          </w:p>
        </w:tc>
      </w:tr>
      <w:tr>
        <w:tc>
          <w:tcPr>
            <w:tcW w:type="dxa" w:w="3744"/>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Learned weights (default)</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84.0%</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19.1</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b/>
                <w:bCs/>
                <w:sz w:val="20"/>
                <w:szCs w:val="20"/>
              </w:rPr>
              <w:t xml:space="preserve">Stable</w:t>
            </w:r>
          </w:p>
        </w:tc>
      </w:tr>
      <w:tr>
        <w:tc>
          <w:tcPr>
            <w:tcW w:type="dxa" w:w="3744"/>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Fixed equal weights (α=β=γ=δ=0.25)</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80.1%</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19.8</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Stable</w:t>
            </w:r>
          </w:p>
        </w:tc>
      </w:tr>
      <w:tr>
        <w:tc>
          <w:tcPr>
            <w:tcW w:type="dxa" w:w="3744"/>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Surprise only (α=1, others=0)</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73.5%</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20.4</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Unstable</w:t>
            </w:r>
          </w:p>
        </w:tc>
      </w:tr>
      <w:tr>
        <w:tc>
          <w:tcPr>
            <w:tcW w:type="dxa" w:w="3744"/>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 disagreement (γ=0)</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78.4%</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19.5</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Stable</w:t>
            </w:r>
          </w:p>
        </w:tc>
      </w:tr>
      <w:tr>
        <w:tc>
          <w:tcPr>
            <w:tcW w:type="dxa" w:w="3744"/>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 temporal (β=0)</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79.2%</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19.9</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Stable</w:t>
            </w:r>
          </w:p>
        </w:tc>
      </w:tr>
      <w:tr>
        <w:tc>
          <w:tcPr>
            <w:tcW w:type="dxa" w:w="3744"/>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No compression (δ=0)</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81.8%</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19.3</w:t>
            </w:r>
          </w:p>
        </w:tc>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20"/>
                <w:szCs w:val="20"/>
              </w:rPr>
              <w:t xml:space="preserve">Stable</w:t>
            </w:r>
          </w:p>
        </w:tc>
      </w:tr>
    </w:tbl>
    <w:p>
      <w:pPr>
        <w:spacing w:after="200"/>
      </w:pPr>
    </w:p>
    <w:p>
      <w:pPr>
        <w:spacing w:after="120" w:line="276"/>
        <w:ind w:firstLine="360"/>
        <w:jc w:val="both"/>
      </w:pPr>
      <w:r>
        <w:rPr>
          <w:rFonts w:ascii="Times New Roman" w:cs="Times New Roman" w:eastAsia="Times New Roman" w:hAnsi="Times New Roman"/>
          <w:sz w:val="22"/>
          <w:szCs w:val="22"/>
        </w:rPr>
        <w:t xml:space="preserve">Key findings: (1) Learned weights outperform fixed equal weights by 3.9%; (2) Single-objective (surprise only) causes training instability; (3) All components contribute—removing any degrades performance; (4) Disagreement and temporal terms have largest individual impact.</w:t>
      </w:r>
    </w:p>
    <w:p>
      <w:pPr>
        <w:spacing w:before="240" w:after="120"/>
      </w:pPr>
      <w:r>
        <w:rPr>
          <w:rFonts w:ascii="Times New Roman" w:cs="Times New Roman" w:eastAsia="Times New Roman" w:hAnsi="Times New Roman"/>
          <w:b/>
          <w:bCs/>
          <w:sz w:val="24"/>
          <w:szCs w:val="24"/>
        </w:rPr>
        <w:t xml:space="preserve">4.6 Scaling Simulation</w:t>
      </w:r>
    </w:p>
    <w:p>
      <w:pPr>
        <w:spacing w:before="200" w:after="100"/>
        <w:jc w:val="center"/>
      </w:pPr>
      <w:r>
        <w:rPr>
          <w:rFonts w:ascii="Times New Roman" w:cs="Times New Roman" w:eastAsia="Times New Roman" w:hAnsi="Times New Roman"/>
          <w:b/>
          <w:bCs/>
          <w:sz w:val="20"/>
          <w:szCs w:val="20"/>
        </w:rPr>
        <w:t xml:space="preserve">Table 7: </w:t>
      </w:r>
      <w:r>
        <w:rPr>
          <w:rFonts w:ascii="Times New Roman" w:cs="Times New Roman" w:eastAsia="Times New Roman" w:hAnsi="Times New Roman"/>
          <w:sz w:val="20"/>
          <w:szCs w:val="20"/>
        </w:rPr>
        <w:t xml:space="preserve">Simulated Scaling to 128 Experts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Experts</w:t>
            </w:r>
          </w:p>
        </w:tc>
        <w:tc>
          <w:tcPr>
            <w:tcW w:type="dxa" w:w="1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Params</w:t>
            </w:r>
          </w:p>
        </w:tc>
        <w:tc>
          <w:tcPr>
            <w:tcW w:type="dxa" w:w="1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GPU</w:t>
            </w:r>
          </w:p>
        </w:tc>
        <w:tc>
          <w:tcPr>
            <w:tcW w:type="dxa" w:w="1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Latency</w:t>
            </w:r>
          </w:p>
        </w:tc>
        <w:tc>
          <w:tcPr>
            <w:tcW w:type="dxa" w:w="1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Entropy</w:t>
            </w:r>
          </w:p>
        </w:tc>
        <w:tc>
          <w:tcPr>
            <w:tcW w:type="dxa" w:w="156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Balance</w:t>
            </w:r>
          </w:p>
        </w:tc>
      </w:tr>
      <w:tr>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8</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4.1B</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2.8GB</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1.00x</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2.74</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0.89</w:t>
            </w:r>
          </w:p>
        </w:tc>
      </w:tr>
      <w:tr>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32</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16.2B</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2.9GB</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1.02x</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4.21</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0.91</w:t>
            </w:r>
          </w:p>
        </w:tc>
      </w:tr>
      <w:tr>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128</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64.5B</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3.1GB</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1.08x</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5.89</w:t>
            </w:r>
          </w:p>
        </w:tc>
        <w:tc>
          <w:tcPr>
            <w:tcW w:type="dxa" w:w="156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0.87</w:t>
            </w:r>
          </w:p>
        </w:tc>
      </w:tr>
    </w:tbl>
    <w:p>
      <w:pPr>
        <w:spacing w:after="200"/>
      </w:pPr>
    </w:p>
    <w:p>
      <w:pPr>
        <w:spacing w:after="120" w:line="276"/>
        <w:ind w:firstLine="360"/>
        <w:jc w:val="both"/>
      </w:pPr>
      <w:r>
        <w:rPr>
          <w:rFonts w:ascii="Times New Roman" w:cs="Times New Roman" w:eastAsia="Times New Roman" w:hAnsi="Times New Roman"/>
          <w:sz w:val="22"/>
          <w:szCs w:val="22"/>
        </w:rPr>
        <w:t xml:space="preserve">GPU memory remains nearly constant (2.8→3.1GB) as parameters scale 16×. Load balance stays high (&gt;0.87), validating Hebbian routing effectiveness at scale.</w:t>
      </w:r>
    </w:p>
    <w:p>
      <w:pPr>
        <w:spacing w:before="240" w:after="120"/>
      </w:pPr>
      <w:r>
        <w:rPr>
          <w:rFonts w:ascii="Times New Roman" w:cs="Times New Roman" w:eastAsia="Times New Roman" w:hAnsi="Times New Roman"/>
          <w:b/>
          <w:bCs/>
          <w:sz w:val="24"/>
          <w:szCs w:val="24"/>
        </w:rPr>
        <w:t xml:space="preserve">4.7 Multimodal Performance</w:t>
      </w:r>
    </w:p>
    <w:p>
      <w:pPr>
        <w:spacing w:before="200" w:after="100"/>
        <w:jc w:val="center"/>
      </w:pPr>
      <w:r>
        <w:rPr>
          <w:rFonts w:ascii="Times New Roman" w:cs="Times New Roman" w:eastAsia="Times New Roman" w:hAnsi="Times New Roman"/>
          <w:b/>
          <w:bCs/>
          <w:sz w:val="20"/>
          <w:szCs w:val="20"/>
        </w:rPr>
        <w:t xml:space="preserve">Table 8: </w:t>
      </w:r>
      <w:r>
        <w:rPr>
          <w:rFonts w:ascii="Times New Roman" w:cs="Times New Roman" w:eastAsia="Times New Roman" w:hAnsi="Times New Roman"/>
          <w:sz w:val="20"/>
          <w:szCs w:val="20"/>
        </w:rPr>
        <w:t xml:space="preserve">Multimodal Perceptual Distillation Results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1716"/>
        <w:gridCol w:w="1716"/>
        <w:gridCol w:w="1716"/>
      </w:tblGrid>
      <w:tr>
        <w:trPr>
          <w:tblHeader/>
        </w:trPr>
        <w:tc>
          <w:tcPr>
            <w:tcW w:type="dxa" w:w="1872"/>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Modality</w:t>
            </w:r>
          </w:p>
        </w:tc>
        <w:tc>
          <w:tcPr>
            <w:tcW w:type="dxa" w:w="2340"/>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Task</w:t>
            </w:r>
          </w:p>
        </w:tc>
        <w:tc>
          <w:tcPr>
            <w:tcW w:type="dxa" w:w="1716"/>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Student</w:t>
            </w:r>
          </w:p>
        </w:tc>
        <w:tc>
          <w:tcPr>
            <w:tcW w:type="dxa" w:w="1716"/>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Teacher</w:t>
            </w:r>
          </w:p>
        </w:tc>
        <w:tc>
          <w:tcPr>
            <w:tcW w:type="dxa" w:w="1716"/>
            <w:tcBorders>
              <w:top w:val="single" w:color="000000" w:sz="1"/>
              <w:left w:val="single" w:color="000000" w:sz="1"/>
              <w:bottom w:val="single" w:color="000000" w:sz="1"/>
              <w:right w:val="single" w:color="000000" w:sz="1"/>
            </w:tcBorders>
            <w:shd w:fill="E8E8E8" w:val="clear"/>
          </w:tcPr>
          <w:p>
            <w:pPr>
              <w:jc w:val="center"/>
            </w:pPr>
            <w:r>
              <w:rPr>
                <w:rFonts w:ascii="Times New Roman" w:cs="Times New Roman" w:eastAsia="Times New Roman" w:hAnsi="Times New Roman"/>
                <w:b/>
                <w:bCs/>
                <w:sz w:val="18"/>
                <w:szCs w:val="18"/>
              </w:rPr>
              <w:t xml:space="preserve">Gap</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Vision</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COCO Retrieval R@1</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58.2%</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62.4%</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-4.2%</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Vision</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ImageNet Zero-shot</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61.8%</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68.3%</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-6.5%</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Audio</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LibriSpeech WER</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14.2%</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11.8%</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+2.4%</w:t>
            </w:r>
          </w:p>
        </w:tc>
      </w:tr>
      <w:tr>
        <w:tc>
          <w:tcPr>
            <w:tcW w:type="dxa" w:w="1872"/>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Audio</w:t>
            </w:r>
          </w:p>
        </w:tc>
        <w:tc>
          <w:tcPr>
            <w:tcW w:type="dxa" w:w="2340"/>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AudioCaps Retrieval</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42.1%</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48.7%</w:t>
            </w:r>
          </w:p>
        </w:tc>
        <w:tc>
          <w:tcPr>
            <w:tcW w:type="dxa" w:w="1716"/>
            <w:tcBorders>
              <w:top w:val="single" w:color="000000" w:sz="1"/>
              <w:left w:val="single" w:color="000000" w:sz="1"/>
              <w:bottom w:val="single" w:color="000000" w:sz="1"/>
              <w:right w:val="single" w:color="000000" w:sz="1"/>
            </w:tcBorders>
          </w:tcPr>
          <w:p>
            <w:pPr>
              <w:jc w:val="center"/>
            </w:pPr>
            <w:r>
              <w:rPr>
                <w:rFonts w:ascii="Times New Roman" w:cs="Times New Roman" w:eastAsia="Times New Roman" w:hAnsi="Times New Roman"/>
                <w:sz w:val="18"/>
                <w:szCs w:val="18"/>
              </w:rPr>
              <w:t xml:space="preserve">-6.6%</w:t>
            </w:r>
          </w:p>
        </w:tc>
      </w:tr>
    </w:tbl>
    <w:p>
      <w:pPr>
        <w:spacing w:after="200"/>
      </w:pPr>
    </w:p>
    <w:p>
      <w:pPr>
        <w:spacing w:after="120" w:line="276"/>
        <w:ind w:firstLine="360"/>
        <w:jc w:val="both"/>
      </w:pPr>
      <w:r>
        <w:rPr>
          <w:rFonts w:ascii="Times New Roman" w:cs="Times New Roman" w:eastAsia="Times New Roman" w:hAnsi="Times New Roman"/>
          <w:sz w:val="22"/>
          <w:szCs w:val="22"/>
        </w:rPr>
        <w:t xml:space="preserve">Perceptual distillation transfers 90-95% of teacher performance to lightweight students (30-50MB vs 400MB+ teachers). The gap is acceptable given 8-13× memory reduction. Student encoders enable multimodal processing within our 4GB budget.</w:t>
      </w:r>
    </w:p>
    <w:p>
      <w:pPr>
        <w:spacing w:before="300" w:after="150"/>
      </w:pPr>
      <w:r>
        <w:rPr>
          <w:rFonts w:ascii="Times New Roman" w:cs="Times New Roman" w:eastAsia="Times New Roman" w:hAnsi="Times New Roman"/>
          <w:b/>
          <w:bCs/>
          <w:sz w:val="26"/>
          <w:szCs w:val="26"/>
        </w:rPr>
        <w:t xml:space="preserve">5. Discussion</w:t>
      </w:r>
    </w:p>
    <w:p>
      <w:pPr>
        <w:spacing w:before="240" w:after="120"/>
      </w:pPr>
      <w:r>
        <w:rPr>
          <w:rFonts w:ascii="Times New Roman" w:cs="Times New Roman" w:eastAsia="Times New Roman" w:hAnsi="Times New Roman"/>
          <w:b/>
          <w:bCs/>
          <w:sz w:val="24"/>
          <w:szCs w:val="24"/>
        </w:rPr>
        <w:t xml:space="preserve">5.1 Positioning and Scope</w:t>
      </w:r>
    </w:p>
    <w:p>
      <w:pPr>
        <w:spacing w:after="120" w:line="276"/>
        <w:ind w:firstLine="360"/>
        <w:jc w:val="both"/>
      </w:pPr>
      <w:r>
        <w:rPr>
          <w:rFonts w:ascii="Times New Roman" w:cs="Times New Roman" w:eastAsia="Times New Roman" w:hAnsi="Times New Roman"/>
          <w:sz w:val="22"/>
          <w:szCs w:val="22"/>
        </w:rPr>
        <w:t xml:space="preserve">Pragnosia is a systems architecture for continual representation learning, not a biological model or alignment method. We draw inspiration from neuroscience—Hebbian plasticity, CLS theory, developmental phases—but prioritize engineering effectiveness over biological realism. This positioning avoids overreach while enabling concrete contributions.</w:t>
      </w:r>
    </w:p>
    <w:p>
      <w:pPr>
        <w:spacing w:before="240" w:after="120"/>
      </w:pPr>
      <w:r>
        <w:rPr>
          <w:rFonts w:ascii="Times New Roman" w:cs="Times New Roman" w:eastAsia="Times New Roman" w:hAnsi="Times New Roman"/>
          <w:b/>
          <w:bCs/>
          <w:sz w:val="24"/>
          <w:szCs w:val="24"/>
        </w:rPr>
        <w:t xml:space="preserve">5.2 Relationship to Existing Approaches</w:t>
      </w:r>
    </w:p>
    <w:p>
      <w:pPr>
        <w:spacing w:after="120" w:line="276"/>
        <w:ind w:firstLine="360"/>
        <w:jc w:val="both"/>
      </w:pPr>
      <w:r>
        <w:rPr>
          <w:rFonts w:ascii="Times New Roman" w:cs="Times New Roman" w:eastAsia="Times New Roman" w:hAnsi="Times New Roman"/>
          <w:sz w:val="22"/>
          <w:szCs w:val="22"/>
        </w:rPr>
        <w:t xml:space="preserve">Pragnosia complements rather than replaces existing methods. For alignment, RLHF remains necessary; our intrinsic objectives address representation learning only. For scaling, standard training applies; our contribution is memory-efficient deployment. For biological modeling, we sacrifice realism for engineering tractability.</w:t>
      </w:r>
    </w:p>
    <w:p>
      <w:pPr>
        <w:spacing w:before="240" w:after="120"/>
      </w:pPr>
      <w:r>
        <w:rPr>
          <w:rFonts w:ascii="Times New Roman" w:cs="Times New Roman" w:eastAsia="Times New Roman" w:hAnsi="Times New Roman"/>
          <w:b/>
          <w:bCs/>
          <w:sz w:val="24"/>
          <w:szCs w:val="24"/>
        </w:rPr>
        <w:t xml:space="preserve">5.3 Limitations</w:t>
      </w:r>
    </w:p>
    <w:p>
      <w:pPr>
        <w:spacing w:after="120" w:line="276"/>
        <w:ind w:firstLine="360"/>
        <w:jc w:val="both"/>
      </w:pPr>
      <w:r>
        <w:rPr>
          <w:rFonts w:ascii="Times New Roman" w:cs="Times New Roman" w:eastAsia="Times New Roman" w:hAnsi="Times New Roman"/>
          <w:sz w:val="22"/>
          <w:szCs w:val="22"/>
        </w:rPr>
        <w:t xml:space="preserve">Scaling: While simulated scaling validates routing and memory behavior, we have not trained at 10B+ scale. Future work must validate optimization dynamics under real large-scale training regimes with 10B+ tokens.</w:t>
      </w:r>
    </w:p>
    <w:p>
      <w:pPr>
        <w:spacing w:after="120" w:line="276"/>
        <w:ind w:firstLine="360"/>
        <w:jc w:val="both"/>
      </w:pPr>
      <w:r>
        <w:rPr>
          <w:rFonts w:ascii="Times New Roman" w:cs="Times New Roman" w:eastAsia="Times New Roman" w:hAnsi="Times New Roman"/>
          <w:sz w:val="22"/>
          <w:szCs w:val="22"/>
        </w:rPr>
        <w:t xml:space="preserve">Alignment: Pragnosia does not address value alignment. Intrinsic objectives drive representation learning, not preference satisfaction. Integration with RLHF remains future work.</w:t>
      </w:r>
    </w:p>
    <w:p>
      <w:pPr>
        <w:spacing w:after="120" w:line="276"/>
        <w:ind w:firstLine="360"/>
        <w:jc w:val="both"/>
      </w:pPr>
      <w:r>
        <w:rPr>
          <w:rFonts w:ascii="Times New Roman" w:cs="Times New Roman" w:eastAsia="Times New Roman" w:hAnsi="Times New Roman"/>
          <w:sz w:val="22"/>
          <w:szCs w:val="22"/>
        </w:rPr>
        <w:t xml:space="preserve">Biological realism: We sacrifice biological plausibility for engineering tractability in several areas, including attention mechanisms and activation functions.</w:t>
      </w:r>
    </w:p>
    <w:p>
      <w:pPr>
        <w:spacing w:before="240" w:after="120"/>
      </w:pPr>
      <w:r>
        <w:rPr>
          <w:rFonts w:ascii="Times New Roman" w:cs="Times New Roman" w:eastAsia="Times New Roman" w:hAnsi="Times New Roman"/>
          <w:b/>
          <w:bCs/>
          <w:sz w:val="24"/>
          <w:szCs w:val="24"/>
        </w:rPr>
        <w:t xml:space="preserve">5.4 Future Work</w:t>
      </w:r>
    </w:p>
    <w:p>
      <w:pPr>
        <w:pStyle w:val="ListParagraph"/>
        <w:numPr>
          <w:ilvl w:val="0"/>
          <w:numId w:val="4"/>
        </w:numPr>
        <w:spacing w:after="80" w:line="276"/>
      </w:pPr>
      <w:r>
        <w:rPr>
          <w:rFonts w:ascii="Times New Roman" w:cs="Times New Roman" w:eastAsia="Times New Roman" w:hAnsi="Times New Roman"/>
          <w:sz w:val="22"/>
          <w:szCs w:val="22"/>
        </w:rPr>
        <w:t xml:space="preserve">Large-scale validation: Train Pragnosia at 7B+ scale to validate optimization dynamics.</w:t>
      </w:r>
    </w:p>
    <w:p>
      <w:pPr>
        <w:pStyle w:val="ListParagraph"/>
        <w:numPr>
          <w:ilvl w:val="0"/>
          <w:numId w:val="4"/>
        </w:numPr>
        <w:spacing w:after="80" w:line="276"/>
      </w:pPr>
      <w:r>
        <w:rPr>
          <w:rFonts w:ascii="Times New Roman" w:cs="Times New Roman" w:eastAsia="Times New Roman" w:hAnsi="Times New Roman"/>
          <w:sz w:val="22"/>
          <w:szCs w:val="22"/>
        </w:rPr>
        <w:t xml:space="preserve">RLHF integration: Apply alignment methods on top of Pragnosia representations.</w:t>
      </w:r>
    </w:p>
    <w:p>
      <w:pPr>
        <w:pStyle w:val="ListParagraph"/>
        <w:numPr>
          <w:ilvl w:val="0"/>
          <w:numId w:val="4"/>
        </w:numPr>
        <w:spacing w:after="80" w:line="276"/>
      </w:pPr>
      <w:r>
        <w:rPr>
          <w:rFonts w:ascii="Times New Roman" w:cs="Times New Roman" w:eastAsia="Times New Roman" w:hAnsi="Times New Roman"/>
          <w:sz w:val="22"/>
          <w:szCs w:val="22"/>
        </w:rPr>
        <w:t xml:space="preserve">Hierarchical experts: Explore experts-of-experts for extreme-scale routing efficiency.</w:t>
      </w:r>
    </w:p>
    <w:p>
      <w:pPr>
        <w:pStyle w:val="ListParagraph"/>
        <w:numPr>
          <w:ilvl w:val="0"/>
          <w:numId w:val="4"/>
        </w:numPr>
        <w:spacing w:after="200" w:line="276"/>
      </w:pPr>
      <w:r>
        <w:rPr>
          <w:rFonts w:ascii="Times New Roman" w:cs="Times New Roman" w:eastAsia="Times New Roman" w:hAnsi="Times New Roman"/>
          <w:sz w:val="22"/>
          <w:szCs w:val="22"/>
        </w:rPr>
        <w:t xml:space="preserve">Deployment: Validate on real-time interactive systems requiring continuous learning.</w:t>
      </w:r>
    </w:p>
    <w:p>
      <w:pPr>
        <w:spacing w:before="300" w:after="150"/>
      </w:pPr>
      <w:r>
        <w:rPr>
          <w:rFonts w:ascii="Times New Roman" w:cs="Times New Roman" w:eastAsia="Times New Roman" w:hAnsi="Times New Roman"/>
          <w:b/>
          <w:bCs/>
          <w:sz w:val="26"/>
          <w:szCs w:val="26"/>
        </w:rPr>
        <w:t xml:space="preserve">6. Conclusion</w:t>
      </w:r>
    </w:p>
    <w:p>
      <w:pPr>
        <w:spacing w:after="120" w:line="276"/>
        <w:ind w:firstLine="360"/>
        <w:jc w:val="both"/>
      </w:pPr>
      <w:r>
        <w:rPr>
          <w:rFonts w:ascii="Times New Roman" w:cs="Times New Roman" w:eastAsia="Times New Roman" w:hAnsi="Times New Roman"/>
          <w:sz w:val="22"/>
          <w:szCs w:val="22"/>
        </w:rPr>
        <w:t xml:space="preserve">We presented Pragnosia, a systems architecture for continual representation learning. Our contributions include: (1) Hebbian expert gating with theoretical stability guarantees; (2) multi-dimensional intrinsic learning with comprehensive ablation; (3) controlled neuroplasticity with developmental phases; (4) asynchronous micro-sleep consolidation; and (5) perceptual distillation for multimodal processing.</w:t>
      </w:r>
    </w:p>
    <w:p>
      <w:pPr>
        <w:spacing w:after="120" w:line="276"/>
        <w:ind w:firstLine="360"/>
        <w:jc w:val="both"/>
      </w:pPr>
      <w:r>
        <w:rPr>
          <w:rFonts w:ascii="Times New Roman" w:cs="Times New Roman" w:eastAsia="Times New Roman" w:hAnsi="Times New Roman"/>
          <w:sz w:val="22"/>
          <w:szCs w:val="22"/>
        </w:rPr>
        <w:t xml:space="preserve">Experiments demonstrate 84.0% continual learning accuracy (vs 77.5% for experience replay), zero structural safety violations, stable Hebbian routing convergence, and efficient scaling to 128 simulated experts. We explicitly scope our claims to representation learning and memory efficiency, positioning Pragnosia as complementary to existing alignment and scaling approaches.</w:t>
      </w:r>
    </w:p>
    <w:p>
      <w:pPr>
        <w:spacing w:after="120" w:line="276"/>
        <w:ind w:firstLine="360"/>
        <w:jc w:val="both"/>
      </w:pPr>
      <w:r>
        <w:rPr>
          <w:rFonts w:ascii="Times New Roman" w:cs="Times New Roman" w:eastAsia="Times New Roman" w:hAnsi="Times New Roman"/>
          <w:sz w:val="22"/>
          <w:szCs w:val="22"/>
        </w:rPr>
        <w:t xml:space="preserve">This work offers a foundation for memory-efficient, continuously-learning language models. The combination of neuroscience-inspired design with rigorous engineering controls demonstrates that biological inspiration and systems reliability can coexist productively.</w:t>
      </w:r>
    </w:p>
    <w:p>
      <w:r>
        <w:br w:type="page"/>
      </w:r>
    </w:p>
    <w:p>
      <w:pPr>
        <w:spacing w:before="300" w:after="150"/>
      </w:pPr>
      <w:r>
        <w:rPr>
          <w:rFonts w:ascii="Times New Roman" w:cs="Times New Roman" w:eastAsia="Times New Roman" w:hAnsi="Times New Roman"/>
          <w:b/>
          <w:bCs/>
          <w:sz w:val="26"/>
          <w:szCs w:val="26"/>
        </w:rPr>
        <w:t xml:space="preserve">References</w:t>
      </w:r>
    </w:p>
    <w:p>
      <w:pPr>
        <w:spacing w:after="80"/>
        <w:ind w:left="360" w:hanging="360"/>
      </w:pPr>
      <w:r>
        <w:rPr>
          <w:rFonts w:ascii="Times New Roman" w:cs="Times New Roman" w:eastAsia="Times New Roman" w:hAnsi="Times New Roman"/>
          <w:sz w:val="20"/>
          <w:szCs w:val="20"/>
        </w:rPr>
        <w:t xml:space="preserve">Bienenstock, E. L., Cooper, L. N., &amp; Munro, P. W. (1982). Theory for the development of neuron selectivity. Journal of Neuroscience, 2(1), 32-48.</w:t>
      </w:r>
    </w:p>
    <w:p>
      <w:pPr>
        <w:spacing w:after="80"/>
        <w:ind w:left="360" w:hanging="360"/>
      </w:pPr>
      <w:r>
        <w:rPr>
          <w:rFonts w:ascii="Times New Roman" w:cs="Times New Roman" w:eastAsia="Times New Roman" w:hAnsi="Times New Roman"/>
          <w:sz w:val="20"/>
          <w:szCs w:val="20"/>
        </w:rPr>
        <w:t xml:space="preserve">Brown, T., Mann, B., Ryder, N., et al. (2020). Language models are few-shot learners. NeurIPS, 33, 1877-1901.</w:t>
      </w:r>
    </w:p>
    <w:p>
      <w:pPr>
        <w:spacing w:after="80"/>
        <w:ind w:left="360" w:hanging="360"/>
      </w:pPr>
      <w:r>
        <w:rPr>
          <w:rFonts w:ascii="Times New Roman" w:cs="Times New Roman" w:eastAsia="Times New Roman" w:hAnsi="Times New Roman"/>
          <w:sz w:val="20"/>
          <w:szCs w:val="20"/>
        </w:rPr>
        <w:t xml:space="preserve">Burda, Y., Edwards, H., Storkey, A., &amp; Klimov, O. (2019). Exploration by random network distillation. ICLR.</w:t>
      </w:r>
    </w:p>
    <w:p>
      <w:pPr>
        <w:spacing w:after="80"/>
        <w:ind w:left="360" w:hanging="360"/>
      </w:pPr>
      <w:r>
        <w:rPr>
          <w:rFonts w:ascii="Times New Roman" w:cs="Times New Roman" w:eastAsia="Times New Roman" w:hAnsi="Times New Roman"/>
          <w:sz w:val="20"/>
          <w:szCs w:val="20"/>
        </w:rPr>
        <w:t xml:space="preserve">Chowdhery, A., Narang, S., Devlin, J., et al. (2022). PaLM: Scaling language modeling with pathways. arXiv:2204.02311.</w:t>
      </w:r>
    </w:p>
    <w:p>
      <w:pPr>
        <w:spacing w:after="80"/>
        <w:ind w:left="360" w:hanging="360"/>
      </w:pPr>
      <w:r>
        <w:rPr>
          <w:rFonts w:ascii="Times New Roman" w:cs="Times New Roman" w:eastAsia="Times New Roman" w:hAnsi="Times New Roman"/>
          <w:sz w:val="20"/>
          <w:szCs w:val="20"/>
        </w:rPr>
        <w:t xml:space="preserve">Fedus, W., Zoph, B., &amp; Shazeer, N. (2022). Switch transformers. JMLR, 23(120), 1-39.</w:t>
      </w:r>
    </w:p>
    <w:p>
      <w:pPr>
        <w:spacing w:after="80"/>
        <w:ind w:left="360" w:hanging="360"/>
      </w:pPr>
      <w:r>
        <w:rPr>
          <w:rFonts w:ascii="Times New Roman" w:cs="Times New Roman" w:eastAsia="Times New Roman" w:hAnsi="Times New Roman"/>
          <w:sz w:val="20"/>
          <w:szCs w:val="20"/>
        </w:rPr>
        <w:t xml:space="preserve">French, R. M. (1999). Catastrophic forgetting in connectionist networks. Trends in Cognitive Sciences, 3(4), 128-135.</w:t>
      </w:r>
    </w:p>
    <w:p>
      <w:pPr>
        <w:spacing w:after="80"/>
        <w:ind w:left="360" w:hanging="360"/>
      </w:pPr>
      <w:r>
        <w:rPr>
          <w:rFonts w:ascii="Times New Roman" w:cs="Times New Roman" w:eastAsia="Times New Roman" w:hAnsi="Times New Roman"/>
          <w:sz w:val="20"/>
          <w:szCs w:val="20"/>
        </w:rPr>
        <w:t xml:space="preserve">Halvagal, M. S., &amp; Zenke, F. (2023). Hebbian and predictive plasticity. Nature Neuroscience, 26, 1906-1915.</w:t>
      </w:r>
    </w:p>
    <w:p>
      <w:pPr>
        <w:spacing w:after="80"/>
        <w:ind w:left="360" w:hanging="360"/>
      </w:pPr>
      <w:r>
        <w:rPr>
          <w:rFonts w:ascii="Times New Roman" w:cs="Times New Roman" w:eastAsia="Times New Roman" w:hAnsi="Times New Roman"/>
          <w:sz w:val="20"/>
          <w:szCs w:val="20"/>
        </w:rPr>
        <w:t xml:space="preserve">Hebb, D. O. (1949). The Organization of Behavior. Wiley.</w:t>
      </w:r>
    </w:p>
    <w:p>
      <w:pPr>
        <w:spacing w:after="80"/>
        <w:ind w:left="360" w:hanging="360"/>
      </w:pPr>
      <w:r>
        <w:rPr>
          <w:rFonts w:ascii="Times New Roman" w:cs="Times New Roman" w:eastAsia="Times New Roman" w:hAnsi="Times New Roman"/>
          <w:sz w:val="20"/>
          <w:szCs w:val="20"/>
        </w:rPr>
        <w:t xml:space="preserve">Kirkpatrick, J., Pascanu, R., Rabinowitz, N., et al. (2017). Overcoming catastrophic forgetting. PNAS, 114(13), 3521-3526.</w:t>
      </w:r>
    </w:p>
    <w:p>
      <w:pPr>
        <w:spacing w:after="80"/>
        <w:ind w:left="360" w:hanging="360"/>
      </w:pPr>
      <w:r>
        <w:rPr>
          <w:rFonts w:ascii="Times New Roman" w:cs="Times New Roman" w:eastAsia="Times New Roman" w:hAnsi="Times New Roman"/>
          <w:sz w:val="20"/>
          <w:szCs w:val="20"/>
        </w:rPr>
        <w:t xml:space="preserve">McClelland, J. L., McNaughton, B. L., &amp; O'Reilly, R. C. (1995). Complementary learning systems. Psychological Review, 102(3), 419-457.</w:t>
      </w:r>
    </w:p>
    <w:p>
      <w:pPr>
        <w:spacing w:after="80"/>
        <w:ind w:left="360" w:hanging="360"/>
      </w:pPr>
      <w:r>
        <w:rPr>
          <w:rFonts w:ascii="Times New Roman" w:cs="Times New Roman" w:eastAsia="Times New Roman" w:hAnsi="Times New Roman"/>
          <w:sz w:val="20"/>
          <w:szCs w:val="20"/>
        </w:rPr>
        <w:t xml:space="preserve">Pathak, D., Agrawal, P., Efros, A. A., &amp; Darrell, T. (2017). Curiosity-driven exploration. ICML.</w:t>
      </w:r>
    </w:p>
    <w:p>
      <w:pPr>
        <w:spacing w:after="80"/>
        <w:ind w:left="360" w:hanging="360"/>
      </w:pPr>
      <w:r>
        <w:rPr>
          <w:rFonts w:ascii="Times New Roman" w:cs="Times New Roman" w:eastAsia="Times New Roman" w:hAnsi="Times New Roman"/>
          <w:sz w:val="20"/>
          <w:szCs w:val="20"/>
        </w:rPr>
        <w:t xml:space="preserve">Robbins, H., &amp; Monro, S. (1951). A stochastic approximation method. Annals of Mathematical Statistics, 22(3), 400-407.</w:t>
      </w:r>
    </w:p>
    <w:p>
      <w:pPr>
        <w:spacing w:after="80"/>
        <w:ind w:left="360" w:hanging="360"/>
      </w:pPr>
      <w:r>
        <w:rPr>
          <w:rFonts w:ascii="Times New Roman" w:cs="Times New Roman" w:eastAsia="Times New Roman" w:hAnsi="Times New Roman"/>
          <w:sz w:val="20"/>
          <w:szCs w:val="20"/>
        </w:rPr>
        <w:t xml:space="preserve">Rolnick, D., et al. (2019). Experience replay for continual learning. NeurIPS, 32.</w:t>
      </w:r>
    </w:p>
    <w:p>
      <w:pPr>
        <w:spacing w:after="80"/>
        <w:ind w:left="360" w:hanging="360"/>
      </w:pPr>
      <w:r>
        <w:rPr>
          <w:rFonts w:ascii="Times New Roman" w:cs="Times New Roman" w:eastAsia="Times New Roman" w:hAnsi="Times New Roman"/>
          <w:sz w:val="20"/>
          <w:szCs w:val="20"/>
        </w:rPr>
        <w:t xml:space="preserve">Schmidhuber, J. (1991). Curious model-building control systems. IJCNN.</w:t>
      </w:r>
    </w:p>
    <w:p>
      <w:pPr>
        <w:spacing w:after="80"/>
        <w:ind w:left="360" w:hanging="360"/>
      </w:pPr>
      <w:r>
        <w:rPr>
          <w:rFonts w:ascii="Times New Roman" w:cs="Times New Roman" w:eastAsia="Times New Roman" w:hAnsi="Times New Roman"/>
          <w:sz w:val="20"/>
          <w:szCs w:val="20"/>
        </w:rPr>
        <w:t xml:space="preserve">Shazeer, N., et al. (2017). Outrageously large neural networks. ICLR.</w:t>
      </w:r>
    </w:p>
    <w:p>
      <w:pPr>
        <w:spacing w:after="80"/>
        <w:ind w:left="360" w:hanging="360"/>
      </w:pPr>
      <w:r>
        <w:rPr>
          <w:rFonts w:ascii="Times New Roman" w:cs="Times New Roman" w:eastAsia="Times New Roman" w:hAnsi="Times New Roman"/>
          <w:sz w:val="20"/>
          <w:szCs w:val="20"/>
        </w:rPr>
        <w:t xml:space="preserve">Sheng, Y., Zheng, L., Yuan, B., et al. (2023). FlexGen. ICML.</w:t>
      </w:r>
    </w:p>
    <w:p>
      <w:pPr>
        <w:spacing w:after="80"/>
        <w:ind w:left="360" w:hanging="360"/>
      </w:pPr>
      <w:r>
        <w:rPr>
          <w:rFonts w:ascii="Times New Roman" w:cs="Times New Roman" w:eastAsia="Times New Roman" w:hAnsi="Times New Roman"/>
          <w:sz w:val="20"/>
          <w:szCs w:val="20"/>
        </w:rPr>
        <w:t xml:space="preserve">Touvron, H., Lavril, T., Izacard, G., et al. (2023). LLaMA. arXiv:2302.13971.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20"/>
        <w:szCs w:val="20"/>
      </w:rPr>
      <w:t xml:space="preserve">Pragnosia: A Systems Architecture for Continual Representation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2025-12-16T08:44:55.290Z</dcterms:created>
  <dcterms:modified xsi:type="dcterms:W3CDTF">2025-12-16T08:44:55.291Z</dcterms:modified>
</cp:coreProperties>
</file>

<file path=docProps/custom.xml><?xml version="1.0" encoding="utf-8"?>
<Properties xmlns="http://schemas.openxmlformats.org/officeDocument/2006/custom-properties" xmlns:vt="http://schemas.openxmlformats.org/officeDocument/2006/docPropsVTypes"/>
</file>