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i w:val="0"/>
          <w:sz w:val="30"/>
        </w:rPr>
        <w:t>Pragnosia: Making a Diagonal-Complex Spin Recurrence the Load-Bearing Core of a Language Model</w:t>
      </w:r>
    </w:p>
    <w:p>
      <w:pPr>
        <w:spacing w:after="40"/>
        <w:jc w:val="center"/>
      </w:pPr>
      <w:r>
        <w:rPr>
          <w:b w:val="0"/>
          <w:i w:val="0"/>
          <w:sz w:val="24"/>
        </w:rPr>
        <w:t>Ashish</w:t>
      </w:r>
    </w:p>
    <w:p>
      <w:pPr>
        <w:spacing w:after="320"/>
        <w:jc w:val="center"/>
      </w:pPr>
      <w:r>
        <w:rPr>
          <w:b w:val="0"/>
          <w:i/>
          <w:sz w:val="22"/>
        </w:rPr>
        <w:t>Independent Research</w:t>
      </w:r>
    </w:p>
    <w:p>
      <w:pPr>
        <w:spacing w:after="80"/>
      </w:pPr>
      <w:r>
        <w:rPr>
          <w:b/>
          <w:i w:val="0"/>
          <w:sz w:val="24"/>
        </w:rPr>
        <w:t>Address for correspondence</w:t>
      </w:r>
    </w:p>
    <w:p>
      <w:pPr>
        <w:spacing w:after="40"/>
      </w:pPr>
      <w:r>
        <w:rPr>
          <w:b w:val="0"/>
          <w:i w:val="0"/>
          <w:sz w:val="22"/>
        </w:rPr>
        <w:t>Ashish</w:t>
      </w:r>
    </w:p>
    <w:p>
      <w:pPr>
        <w:spacing w:after="40"/>
      </w:pPr>
      <w:r>
        <w:rPr>
          <w:b w:val="0"/>
          <w:i w:val="0"/>
          <w:sz w:val="22"/>
        </w:rPr>
        <w:t>Independent Research</w:t>
      </w:r>
    </w:p>
    <w:p>
      <w:pPr>
        <w:spacing w:after="320"/>
      </w:pPr>
      <w:r>
        <w:rPr>
          <w:b w:val="0"/>
          <w:i w:val="0"/>
          <w:sz w:val="22"/>
        </w:rPr>
        <w:t>Email: ashish99anonymous@gmail.com</w:t>
      </w:r>
    </w:p>
    <w:p>
      <w:pPr>
        <w:spacing w:after="80"/>
      </w:pPr>
      <w:r>
        <w:rPr>
          <w:b/>
          <w:i w:val="0"/>
          <w:sz w:val="24"/>
        </w:rPr>
        <w:t>Acknowledgments</w:t>
      </w:r>
    </w:p>
    <w:p>
      <w:pPr>
        <w:spacing w:after="160"/>
      </w:pPr>
      <w:r>
        <w:rPr>
          <w:b w:val="0"/>
          <w:i w:val="0"/>
          <w:sz w:val="22"/>
        </w:rPr>
        <w:t>The author thanks an external reviewer whose feedback identified that the initial single-carrier design had drifted to an attention-dominant configuration with a causally negligible carrier. That observation directly motivated the corrected spin-dominant design and the causal ablation protocol reported here, and shaped the paper's honest framing of what is and is not established.</w:t>
      </w:r>
    </w:p>
    <w:p>
      <w:pPr>
        <w:spacing w:after="160"/>
      </w:pPr>
      <w:r>
        <w:rPr>
          <w:b w:val="0"/>
          <w:i w:val="0"/>
          <w:sz w:val="22"/>
        </w:rPr>
        <w:t>This work made use of publicly available, openly licensed datasets, including OpenMathReasoning, OpenThoughts2, OpenMathInstruct, NuminaMath, Cosmopedia, Wikipedia, and FineWeb-Edu, to whose maintainers and contributors the author is grateful. The open-source PyTorch, Hugging Face Tokenizers, and state-space-model research communities provided the foundations on which the system is built.</w:t>
      </w:r>
    </w:p>
    <w:p>
      <w:pPr>
        <w:spacing w:after="160"/>
      </w:pPr>
      <w:r>
        <w:rPr>
          <w:b w:val="0"/>
          <w:i w:val="0"/>
          <w:sz w:val="22"/>
        </w:rPr>
        <w:t>All experiments were run on modest hardware: a single consumer GPU for the small-scale controlled ablations and a single data-center GPU for the larger training runs. The author received no external funding for this work and declares no competing interests.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