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after="280"/>
      </w:pPr>
      <w:r>
        <w:t>4.1.2 Trunk</w:t>
      </w:r>
    </w:p>
    <w:p>
      <w:pPr>
        <w:pStyle w:val="Normal"/>
        <w:spacing w:after="180" w:line="276" w:lineRule="auto"/>
      </w:pPr>
      <w:r>
        <w:t>In the original Tree of Science, the trunk represents the set of papers that connect the foundational roots with the more recent branches and leaves of the citation structure. These papers are not only highly relevant individually, but also act as intellectual bridges that support the development and consolidation of the research field. In the enhanced version of ToS, this structural role is preserved through the SAP procedure, but the interpretation of the trunk is extended by identifying thematic subgroups among trunk papers.</w:t>
      </w:r>
    </w:p>
    <w:p>
      <w:pPr>
        <w:pStyle w:val="Normal"/>
        <w:spacing w:after="180" w:line="276" w:lineRule="auto"/>
      </w:pPr>
      <w:r>
        <w:t>After the SAP-based identification of trunk nodes, each trunk paper is enriched with bibliographic metadata, including title, abstract, year, journal, source title, and SAP score. A combined similarity model is then applied to estimate the proximity between every pair of trunk papers. Because trunk papers play an intermediary role in the citation network, the similarity model uses three complementary signals: textual similarity, shared references, and shared citers.</w:t>
      </w:r>
    </w:p>
    <w:p>
      <w:pPr>
        <w:pStyle w:val="Normal"/>
        <w:spacing w:after="180" w:line="276" w:lineRule="auto"/>
      </w:pPr>
      <w:r>
        <w:t>The first component is textual similarity, computed from a TF-IDF representation of the concatenated title and abstract of each trunk paper. This component captures thematic proximity between papers according to their content. If T_i and T_j represent the TF-IDF vectors of trunk papers i and j, textual similarity is computed using cosine similarity:</w:t>
      </w:r>
    </w:p>
    <w:p>
      <w:pPr>
        <w:pStyle w:val="Equation"/>
        <w:ind w:left="720"/>
        <w:spacing w:before="120" w:after="180"/>
      </w:pPr>
      <w:r>
        <w:t>text_similarity_ij = cosine(T_i, T_j)</w:t>
      </w:r>
    </w:p>
    <w:p>
      <w:pPr>
        <w:pStyle w:val="Normal"/>
        <w:spacing w:after="180" w:line="276" w:lineRule="auto"/>
      </w:pPr>
      <w:r>
        <w:t>The second component is shared-reference similarity. For each trunk paper, the set of references cited by that paper is extracted from the directed citation graph. If R_i and R_j denote the reference sets of trunk papers i and j, their shared-reference similarity is computed using Salton cosine overlap:</w:t>
      </w:r>
    </w:p>
    <w:p>
      <w:pPr>
        <w:pStyle w:val="Equation"/>
        <w:ind w:left="720"/>
        <w:spacing w:before="120" w:after="180"/>
      </w:pPr>
      <w:r>
        <w:t>shared_reference_similarity_ij = |R_i intersect R_j| / sqrt(|R_i| |R_j|)</w:t>
      </w:r>
    </w:p>
    <w:p>
      <w:pPr>
        <w:pStyle w:val="Normal"/>
        <w:spacing w:after="180" w:line="276" w:lineRule="auto"/>
      </w:pPr>
      <w:r>
        <w:t>This measure identifies trunk papers that draw from a similar intellectual base, even when their titles and abstracts do not use the same terminology.</w:t>
      </w:r>
    </w:p>
    <w:p>
      <w:pPr>
        <w:pStyle w:val="Normal"/>
        <w:spacing w:after="180" w:line="276" w:lineRule="auto"/>
      </w:pPr>
      <w:r>
        <w:t>The third component is shared-citer similarity. For each trunk paper, the set of later papers citing it is identified. If C_i and C_j denote the citer sets of trunk papers i and j, shared-citer similarity is computed as:</w:t>
      </w:r>
    </w:p>
    <w:p>
      <w:pPr>
        <w:pStyle w:val="Equation"/>
        <w:ind w:left="720"/>
        <w:spacing w:before="120" w:after="180"/>
      </w:pPr>
      <w:r>
        <w:t>shared_citer_similarity_ij = |C_i intersect C_j| / sqrt(|C_i| |C_j|)</w:t>
      </w:r>
    </w:p>
    <w:p>
      <w:pPr>
        <w:pStyle w:val="Normal"/>
        <w:spacing w:after="180" w:line="276" w:lineRule="auto"/>
      </w:pPr>
      <w:r>
        <w:t>This component captures whether two trunk papers are jointly used by later literature, indicating that they may play a similar bridging role in the development of the field.</w:t>
      </w:r>
    </w:p>
    <w:p>
      <w:pPr>
        <w:pStyle w:val="Normal"/>
        <w:spacing w:after="180" w:line="276" w:lineRule="auto"/>
      </w:pPr>
      <w:r>
        <w:t>The three signals are then integrated into a single weighted similarity score:</w:t>
      </w:r>
    </w:p>
    <w:p>
      <w:pPr>
        <w:pStyle w:val="Equation"/>
        <w:ind w:left="720"/>
        <w:spacing w:before="120" w:after="180"/>
      </w:pPr>
      <w:r>
        <w:t>final_similarity_ij = w1 * text_similarity_ij + w2 * shared_reference_similarity_ij + w3 * shared_citer_similarity_ij</w:t>
      </w:r>
    </w:p>
    <w:p>
      <w:pPr>
        <w:pStyle w:val="Normal"/>
        <w:spacing w:after="180" w:line="276" w:lineRule="auto"/>
      </w:pPr>
      <w:r>
        <w:t>In the current implementation, the weights are set to w1 = 0.40, w2 = 0.35, and w3 = 0.25. Textual similarity receives the highest weight because it provides the clearest thematic signal. Shared-reference similarity is also strongly weighted because trunk papers often connect similar intellectual foundations. Shared-citer similarity receives a smaller, but still meaningful, weight because it captures how later literature recognizes and reuses trunk papers together.</w:t>
      </w:r>
    </w:p>
    <w:p>
      <w:pPr>
        <w:pStyle w:val="Normal"/>
        <w:spacing w:after="180" w:line="276" w:lineRule="auto"/>
      </w:pPr>
      <w:r>
        <w:t>The resulting weighted matrix is used to construct a trunk-only similarity graph. Nodes represent trunk papers, and edges represent pairwise similarities above a minimum threshold. Subtopics are then detected using greedy modularity-based community detection on the weighted graph. In the current empirical application, this procedure identifies three main multi-paper trunk subtopics, while smaller singleton groups are retained in the analytical output as specialized or peripheral trunk contributions.</w:t>
      </w:r>
    </w:p>
    <w:p>
      <w:pPr>
        <w:pStyle w:val="Normal"/>
        <w:spacing w:after="180" w:line="276" w:lineRule="auto"/>
      </w:pPr>
      <w:r>
        <w:t>This enhancement improves the interpretation of the trunk by moving beyond a single ranked list of bridging papers. The trunk is instead represented as a structured set of intellectual pathways. Each subgroup captures a different developmental line within the field, such as conceptual development, SME performance and capabilities, or entrepreneurial marketing under strategic and environmental conditions. As a result, the enhanced ToS provides a clearer view of how foundational ideas are transformed into the main knowledge streams that sustain the field evolution.</w:t>
      </w:r>
    </w:p>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Aptos" w:hAnsi="Aptos"/>
        <w:sz w:val="22"/>
        <w:color w:val="1F1F1F"/>
      </w:rPr>
    </w:rPrDefault>
    <w:pPrDefault>
      <w:pPr>
        <w:spacing w:after="180" w:line="276" w:lineRule="auto"/>
      </w:pPr>
    </w:pPrDefault>
  </w:docDefaults>
  <w:style w:type="paragraph" w:default="1" w:styleId="Normal">
    <w:name w:val="Normal"/>
    <w:qFormat/>
    <w:pPr>
      <w:spacing w:after="180" w:line="276" w:lineRule="auto"/>
    </w:pPr>
    <w:rPr>
      <w:rFonts w:ascii="Aptos" w:hAnsi="Aptos"/>
      <w:sz w:val="22"/>
    </w:rPr>
  </w:style>
  <w:style w:type="paragraph" w:styleId="Title">
    <w:name w:val="Title"/>
    <w:basedOn w:val="Normal"/>
    <w:next w:val="Normal"/>
    <w:qFormat/>
    <w:pPr>
      <w:spacing w:after="280"/>
    </w:pPr>
    <w:rPr>
      <w:rFonts w:ascii="Georgia" w:hAnsi="Georgia"/>
      <w:b/>
      <w:sz w:val="32"/>
      <w:color w:val="441A03"/>
    </w:rPr>
  </w:style>
  <w:style w:type="paragraph" w:styleId="Equation">
    <w:name w:val="Equation"/>
    <w:basedOn w:val="Normal"/>
    <w:next w:val="Normal"/>
    <w:qFormat/>
    <w:pPr>
      <w:spacing w:before="120" w:after="180"/>
      <w:ind w:left="720"/>
    </w:pPr>
    <w:rPr>
      <w:rFonts w:ascii="Consolas" w:hAnsi="Consolas"/>
      <w:sz w:val="20"/>
      <w:color w:val="441A0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