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8B17" w14:textId="77777777" w:rsidR="0049582F" w:rsidRDefault="0049582F" w:rsidP="0049582F">
      <w:pPr>
        <w:spacing w:after="0" w:line="240" w:lineRule="auto"/>
        <w:rPr>
          <w:rFonts w:ascii="BoldItalic" w:eastAsia="Times New Roman" w:hAnsi="BoldItalic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49582F">
        <w:rPr>
          <w:rFonts w:ascii="BoldItalic" w:eastAsia="Times New Roman" w:hAnsi="BoldItalic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Система управления инвестиционным портфелем</w:t>
      </w:r>
    </w:p>
    <w:p w14:paraId="2A3A8E59" w14:textId="77777777" w:rsidR="0049582F" w:rsidRPr="0049582F" w:rsidRDefault="0049582F" w:rsidP="0049582F">
      <w:pPr>
        <w:spacing w:after="0" w:line="240" w:lineRule="auto"/>
        <w:rPr>
          <w:rFonts w:ascii="BoldItalic" w:eastAsia="Times New Roman" w:hAnsi="BoldItalic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</w:p>
    <w:p w14:paraId="28E1BBD6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Создаваемая система реализует экономическую игру, участник которой 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–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менеджер, управляющий работой некоторого </w:t>
      </w:r>
      <w:r w:rsidRPr="0049582F">
        <w:rPr>
          <w:rFonts w:ascii="TimesNewRoman" w:eastAsia="Times New Roman" w:hAnsi="TimesNew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инвестиционного фонда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. Фонд осуществляет различные вложения собранных денежных средств с целью получения прибыли. Возможны вложения в срочные </w:t>
      </w:r>
      <w:r w:rsidRPr="0049582F">
        <w:rPr>
          <w:rFonts w:ascii="TimesNewRoman" w:eastAsia="Times New Roman" w:hAnsi="TimesNew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депозиты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банков (валютные и рублевые), в </w:t>
      </w:r>
      <w:r w:rsidRPr="0049582F">
        <w:rPr>
          <w:rFonts w:ascii="TimesNewRoman" w:eastAsia="Times New Roman" w:hAnsi="TimesNew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драгоценные металлы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(в золотые слитки и др.), в государственные </w:t>
      </w:r>
      <w:r w:rsidRPr="0049582F">
        <w:rPr>
          <w:rFonts w:ascii="TimesNewRoman" w:eastAsia="Times New Roman" w:hAnsi="TimesNew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облигации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, в </w:t>
      </w:r>
      <w:r w:rsidRPr="0049582F">
        <w:rPr>
          <w:rFonts w:ascii="TimesNewRoman" w:eastAsia="Times New Roman" w:hAnsi="TimesNew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акции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предприятий 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–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все эти виды вложений различаются </w:t>
      </w:r>
      <w:r w:rsidRPr="0049582F">
        <w:rPr>
          <w:rFonts w:ascii="TimesNewRoman" w:eastAsia="Times New Roman" w:hAnsi="TimesNew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доходностью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и </w:t>
      </w:r>
      <w:r w:rsidRPr="0049582F">
        <w:rPr>
          <w:rFonts w:ascii="TimesNewRoman" w:eastAsia="Times New Roman" w:hAnsi="TimesNew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риском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(обычно доход пропорционален риску).</w:t>
      </w:r>
    </w:p>
    <w:p w14:paraId="239C7851" w14:textId="341EFCFA" w:rsidR="0049582F" w:rsidRPr="0049582F" w:rsidRDefault="0049582F" w:rsidP="0049582F">
      <w:pPr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В начале игры устанавливается общий капитал фонда (например, 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560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тыс. у.е.), и определяется его </w:t>
      </w:r>
      <w:r w:rsidRPr="0049582F">
        <w:rPr>
          <w:rFonts w:ascii="TimesNewRoman" w:eastAsia="Times New Roman" w:hAnsi="TimesNew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портфель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, т.е. какая часть капитала фонда куда будет вкладываться. В портфеле не обязательно присутствуют все виды вложений (например, нет вложений в депозиты, если они малодоходны), в то же время допускается несколько разных вложений одного вида (например,</w:t>
      </w:r>
      <w:r w:rsidRPr="0049582F">
        <w:rPr>
          <w:rStyle w:val="fontstyle01"/>
        </w:rPr>
        <w:t xml:space="preserve">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вкладываются разные суммы в акции разных предприятий или в депозиты одного или нескольких банков).</w:t>
      </w:r>
    </w:p>
    <w:p w14:paraId="44C083F5" w14:textId="77777777" w:rsidR="0049582F" w:rsidRPr="0049582F" w:rsidRDefault="0049582F" w:rsidP="0049582F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В начале игры определена </w:t>
      </w:r>
      <w:r w:rsidRPr="0049582F">
        <w:rPr>
          <w:rFonts w:ascii="TimesNewRoman" w:eastAsia="Times New Roman" w:hAnsi="TimesNew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внешняя конъюнктура 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–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возможные в текущий момент виды вложений и их условия, к примеру, известен процент дохода по годовым депозитам некоторого банка, стоимость акций некоторой компании и их доходность и т.п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28932140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Игра моделирует работу фонда в течение </w:t>
      </w:r>
      <w:r w:rsidRPr="0049582F">
        <w:rPr>
          <w:rFonts w:ascii="TimesNewRoman" w:eastAsia="Times New Roman" w:hAnsi="TimesNew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М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месяцев </w:t>
      </w:r>
      <w:r w:rsidRPr="0049582F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(12</w:t>
      </w:r>
      <w:r w:rsidRPr="0049582F">
        <w:rPr>
          <w:rFonts w:ascii="SymbolMT" w:eastAsia="Times New Roman" w:hAnsi="Symbol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≤ </w:t>
      </w:r>
      <w:r w:rsidRPr="0049582F">
        <w:rPr>
          <w:rFonts w:ascii="TimesNewRoman" w:eastAsia="Times New Roman" w:hAnsi="TimesNew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М </w:t>
      </w:r>
      <w:r w:rsidRPr="0049582F">
        <w:rPr>
          <w:rFonts w:ascii="SymbolMT" w:eastAsia="Times New Roman" w:hAnsi="SymbolMT" w:cs="Times New Roman"/>
          <w:color w:val="000000"/>
          <w:kern w:val="0"/>
          <w:sz w:val="28"/>
          <w:szCs w:val="28"/>
          <w:lang w:eastAsia="ru-RU"/>
          <w14:ligatures w14:val="none"/>
        </w:rPr>
        <w:t>≤</w:t>
      </w:r>
      <w:r w:rsidRPr="0049582F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30)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. Шаг моделирования 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–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один месяц, в конце каждого месяца выполняется:</w:t>
      </w:r>
    </w:p>
    <w:p w14:paraId="2F6F6686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1.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подсчет доходности по всем составляющим инвестиционного портфеля,</w:t>
      </w:r>
    </w:p>
    <w:p w14:paraId="5FBCE716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определение общей суммы прибыли и процента доходности за этот месяц;</w:t>
      </w:r>
    </w:p>
    <w:p w14:paraId="6CFA30F9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2.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выплата государству налога на доход фонда (например, 17% от суммы</w:t>
      </w:r>
    </w:p>
    <w:p w14:paraId="5535B592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прибыли);</w:t>
      </w:r>
    </w:p>
    <w:p w14:paraId="08837849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3.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учет новых поступивших денежных средств фонда (в частности, за счет</w:t>
      </w:r>
    </w:p>
    <w:p w14:paraId="36AA3E9E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продажи населению паев фонда);</w:t>
      </w:r>
    </w:p>
    <w:p w14:paraId="3C3112C8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4.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учет расходов фонда (например, в случае возврата паев их держателями);</w:t>
      </w:r>
    </w:p>
    <w:p w14:paraId="41AA6543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5.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реструктуризация портфеля с учетом изменённой (на шагах 3 и 4) общей</w:t>
      </w:r>
    </w:p>
    <w:p w14:paraId="40FB96AD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суммы капитала фонда и с учетом изменений во внешней конъюнктуре</w:t>
      </w:r>
    </w:p>
    <w:p w14:paraId="0ED054CD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(например, новой стоимости акций).</w:t>
      </w:r>
    </w:p>
    <w:p w14:paraId="6951E9CD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Операции 1 и 2 выполняются автоматически, операция 5 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–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игроком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-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менеджером, а операции 3 и 4 могут выполняться как автоматически, так и игроком. Обычно поступление новых денежных средств в фонд (шаг 3) зависит от его доходности: чем выше доходность за месяц, тем больше спрос на паи фонда и наоборот 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–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падение доходности влечет за собой обратную продажу (возврат) паев (шаг 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4). </w:t>
      </w:r>
      <w:r w:rsidRPr="0049582F">
        <w:rPr>
          <w:rFonts w:ascii="TimesNewRoman" w:eastAsia="Times New Roman" w:hAnsi="TimesNew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Реструктуризация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инвестиционного портфеля может включать, например, продажу части акций или покупку новых, а также вложения в новые депозиты.</w:t>
      </w:r>
    </w:p>
    <w:p w14:paraId="0683598F" w14:textId="77777777" w:rsidR="0049582F" w:rsidRPr="0049582F" w:rsidRDefault="0049582F" w:rsidP="0049582F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При подсчете доходности фонда за месяц (шаг 1) учитывается, что доходность депозита и облигаций известна заранее, а доходность акций и драгоценных металлов определяется внешней конъюнктурой (текущей ценой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).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Текущую цену следует моделировать как цену прошлого месяца, скорректированную случайной величиной, изменяющейся в некотором диапазоне по определенному вероятностному закону. Аналогичным образом можно моделировать изменение процентных ставок по депозитам по окончании их срока и другие показатели внешней конъюнктуры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780F6EA1" w14:textId="77777777" w:rsidR="0049582F" w:rsidRPr="0049582F" w:rsidRDefault="0049582F" w:rsidP="0049582F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lastRenderedPageBreak/>
        <w:t xml:space="preserve">Цель моделирования 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–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выявление пропорций инвестиционного портфеля, позволяющих устойчиво получать прибыль и наращивать общий капитал инвестиционного фонда. В изменяемые параметры целесообразно включить число </w:t>
      </w:r>
      <w:r w:rsidRPr="0049582F">
        <w:rPr>
          <w:rFonts w:ascii="TimesNewRoman" w:eastAsia="Times New Roman" w:hAnsi="TimesNew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М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, размер исходного капитала инвестиционного фонда, первоначальную структуру инвестиционного портфеля, процент налога на доход, а также диапазоны разброса случайных величин, от которых зависит изменение внешней конъюнктуры.</w:t>
      </w:r>
    </w:p>
    <w:p w14:paraId="0EC7B743" w14:textId="031412B9" w:rsidR="00000000" w:rsidRDefault="0049582F" w:rsidP="0049582F">
      <w:pPr>
        <w:jc w:val="both"/>
      </w:pP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На каждом шаге игры игроку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-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менеджеру должны быть доступны все данные о состоянии дел инвестиционного фонда: суммарный капитал, общий доход и доход по отдельным статьям портфеля и др.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, </w:t>
      </w:r>
      <w:r w:rsidRPr="0049582F">
        <w:rPr>
          <w:rFonts w:ascii="TimesNewRoman" w:eastAsia="Times New Roman" w:hAnsi="TimesNewRoman" w:cs="Times New Roman"/>
          <w:color w:val="000000"/>
          <w:kern w:val="0"/>
          <w:sz w:val="26"/>
          <w:szCs w:val="26"/>
          <w:lang w:eastAsia="ru-RU"/>
          <w14:ligatures w14:val="none"/>
        </w:rPr>
        <w:t>а также информация о внешней конъюнктуре: цена акций, процентные ставки по депозитам и т.п. По окончании игры можно предусмотреть вывод дополнительных статистических данных о работе фонда, например, уровень продажи и возврата паев фонда</w:t>
      </w:r>
      <w:r w:rsidRPr="004958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sectPr w:rsidR="009C6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ldItali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28"/>
    <w:rsid w:val="0049582F"/>
    <w:rsid w:val="005E2017"/>
    <w:rsid w:val="00B6026E"/>
    <w:rsid w:val="00CE6B28"/>
    <w:rsid w:val="00F7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DE63"/>
  <w15:chartTrackingRefBased/>
  <w15:docId w15:val="{1ECF19F3-89DC-4B19-BB75-3AEF0A27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9582F"/>
    <w:rPr>
      <w:rFonts w:ascii="BoldItalic" w:hAnsi="BoldItalic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49582F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49582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a0"/>
    <w:rsid w:val="0049582F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51">
    <w:name w:val="fontstyle51"/>
    <w:basedOn w:val="a0"/>
    <w:rsid w:val="0049582F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2023-10-11T03:33:00Z</dcterms:created>
  <dcterms:modified xsi:type="dcterms:W3CDTF">2023-10-11T03:34:00Z</dcterms:modified>
</cp:coreProperties>
</file>