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20" w:after="320"/>
      </w:pPr>
      <w:r>
        <w:rPr>
          <w:rFonts w:ascii="Calibri" w:hAnsi="Calibri"/>
          <w:b/>
          <w:i w:val="0"/>
          <w:color w:val="00A99D"/>
          <w:sz w:val="18"/>
        </w:rPr>
        <w:t>ENTREGA 3</w:t>
      </w:r>
    </w:p>
    <w:p>
      <w:pPr>
        <w:pStyle w:val="Title"/>
      </w:pPr>
      <w:r>
        <w:t>MongoDB Atlas e CRUD serverless</w:t>
      </w:r>
    </w:p>
    <w:p>
      <w:pPr>
        <w:pStyle w:val="Subtitle"/>
      </w:pPr>
      <w:r>
        <w:t>Quatro Azure Functions integradas ao frontend CloudLog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AF7F5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A99D"/>
                <w:sz w:val="17"/>
              </w:rPr>
              <w:t>PROJETO</w:t>
            </w:r>
          </w:p>
        </w:tc>
        <w:tc>
          <w:tcPr>
            <w:tcW w:type="dxa" w:w="76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B3A"/>
                <w:sz w:val="19"/>
              </w:rPr>
              <w:t>CloudLog — Gestão logística em nuvem</w:t>
            </w:r>
          </w:p>
        </w:tc>
      </w:tr>
      <w:tr>
        <w:tc>
          <w:tcPr>
            <w:tcW w:type="dxa" w:w="1700"/>
            <w:shd w:fill="EAF7F5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A99D"/>
                <w:sz w:val="17"/>
              </w:rPr>
              <w:t>GRUPO</w:t>
            </w:r>
          </w:p>
        </w:tc>
        <w:tc>
          <w:tcPr>
            <w:tcW w:type="dxa" w:w="76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Camilla Uber • João Davi • Laura Guillarducci</w:t>
            </w:r>
          </w:p>
        </w:tc>
      </w:tr>
      <w:tr>
        <w:tc>
          <w:tcPr>
            <w:tcW w:type="dxa" w:w="1700"/>
            <w:shd w:fill="EAF7F5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A99D"/>
                <w:sz w:val="17"/>
              </w:rPr>
              <w:t>STATUS</w:t>
            </w:r>
          </w:p>
        </w:tc>
        <w:tc>
          <w:tcPr>
            <w:tcW w:type="dxa" w:w="76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Modelo preparado para inserção das evidências</w:t>
            </w:r>
          </w:p>
        </w:tc>
      </w:tr>
      <w:tr>
        <w:tc>
          <w:tcPr>
            <w:tcW w:type="dxa" w:w="1700"/>
            <w:shd w:fill="EAF7F5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A99D"/>
                <w:sz w:val="17"/>
              </w:rPr>
              <w:t>DATA</w:t>
            </w:r>
          </w:p>
        </w:tc>
        <w:tc>
          <w:tcPr>
            <w:tcW w:type="dxa" w:w="76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PREENCHER ANTES DA ENTREGA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4D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0A99D"/>
                <w:sz w:val="17"/>
              </w:rPr>
              <w:t xml:space="preserve">ANTES DE ENVIAR  </w:t>
            </w: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Confirmar se o nome correto é Camilla Uber ou Camilla Augusta e substituir todos os campos PREENCHER. Nunca inserir senhas, chaves ou connection strings nas capturas.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00A99D"/>
          <w:sz w:val="17"/>
        </w:rPr>
        <w:t>01 · ARQUITETURA</w:t>
      </w:r>
    </w:p>
    <w:p>
      <w:pPr>
        <w:pStyle w:val="Heading1"/>
        <w:spacing w:before="0"/>
      </w:pPr>
      <w:r>
        <w:t>Recursos e endpoints</w:t>
      </w:r>
    </w:p>
    <w:p>
      <w:pPr>
        <w:spacing w:after="200"/>
      </w:pPr>
      <w:r>
        <w:t>O frontend envia requisições HTTP às Azure Functions, que validam e persistem as entregas no MongoDB Atlas.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Projeto Atlas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PREENCHER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Cluster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PREENCHER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Banco / coleção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cloudlog / deliveries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Function App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PREENCHER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Frontend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PREENCHER — URL do Azure Static Web Apps</w:t>
            </w:r>
          </w:p>
        </w:tc>
      </w:tr>
      <w:tr>
        <w:tc>
          <w:tcPr>
            <w:tcW w:type="dxa" w:w="2300"/>
            <w:shd w:fill="F2F4F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3047"/>
                <w:sz w:val="18"/>
              </w:rPr>
              <w:t>GitHub</w:t>
            </w:r>
          </w:p>
        </w:tc>
        <w:tc>
          <w:tcPr>
            <w:tcW w:type="dxa" w:w="70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PREENCHER — repositório público</w:t>
            </w:r>
          </w:p>
        </w:tc>
      </w:tr>
    </w:tbl>
    <w:p>
      <w:pPr>
        <w:pStyle w:val="Heading2"/>
      </w:pPr>
      <w:r>
        <w:t>Funções implementadas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500"/>
        <w:gridCol w:w="4560"/>
      </w:tblGrid>
      <w:tr>
        <w:trPr>
          <w:tblHeader w:val="true"/>
        </w:trPr>
        <w:tc>
          <w:tcPr>
            <w:tcW w:type="dxa" w:w="3300"/>
            <w:shd w:fill="12304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FUNÇÃO</w:t>
            </w:r>
          </w:p>
        </w:tc>
        <w:tc>
          <w:tcPr>
            <w:tcW w:type="dxa" w:w="1500"/>
            <w:shd w:fill="12304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MÉTODO</w:t>
            </w:r>
          </w:p>
        </w:tc>
        <w:tc>
          <w:tcPr>
            <w:tcW w:type="dxa" w:w="4560"/>
            <w:shd w:fill="12304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ROTA</w:t>
            </w:r>
          </w:p>
        </w:tc>
      </w:tr>
      <w:tr>
        <w:tc>
          <w:tcPr>
            <w:tcW w:type="dxa" w:w="3300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72B3A"/>
                <w:sz w:val="18"/>
              </w:rPr>
              <w:t>searchDeliveries</w:t>
            </w:r>
          </w:p>
        </w:tc>
        <w:tc>
          <w:tcPr>
            <w:tcW w:type="dxa" w:w="1500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172B3A"/>
                <w:sz w:val="18"/>
              </w:rPr>
              <w:t>GET</w:t>
            </w:r>
          </w:p>
        </w:tc>
        <w:tc>
          <w:tcPr>
            <w:tcW w:type="dxa" w:w="4560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72B3A"/>
                <w:sz w:val="18"/>
              </w:rPr>
              <w:t>/api/deliveries</w:t>
            </w:r>
          </w:p>
        </w:tc>
      </w:tr>
      <w:tr>
        <w:tc>
          <w:tcPr>
            <w:tcW w:type="dxa" w:w="3300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72B3A"/>
                <w:sz w:val="18"/>
              </w:rPr>
              <w:t>createDelivery</w:t>
            </w:r>
          </w:p>
        </w:tc>
        <w:tc>
          <w:tcPr>
            <w:tcW w:type="dxa" w:w="1500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172B3A"/>
                <w:sz w:val="18"/>
              </w:rPr>
              <w:t>POST</w:t>
            </w:r>
          </w:p>
        </w:tc>
        <w:tc>
          <w:tcPr>
            <w:tcW w:type="dxa" w:w="4560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72B3A"/>
                <w:sz w:val="18"/>
              </w:rPr>
              <w:t>/api/deliveries</w:t>
            </w:r>
          </w:p>
        </w:tc>
      </w:tr>
      <w:tr>
        <w:tc>
          <w:tcPr>
            <w:tcW w:type="dxa" w:w="3300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72B3A"/>
                <w:sz w:val="18"/>
              </w:rPr>
              <w:t>updateDelivery</w:t>
            </w:r>
          </w:p>
        </w:tc>
        <w:tc>
          <w:tcPr>
            <w:tcW w:type="dxa" w:w="1500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172B3A"/>
                <w:sz w:val="18"/>
              </w:rPr>
              <w:t>PUT</w:t>
            </w:r>
          </w:p>
        </w:tc>
        <w:tc>
          <w:tcPr>
            <w:tcW w:type="dxa" w:w="4560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72B3A"/>
                <w:sz w:val="18"/>
              </w:rPr>
              <w:t>/api/deliveries/{id}</w:t>
            </w:r>
          </w:p>
        </w:tc>
      </w:tr>
      <w:tr>
        <w:tc>
          <w:tcPr>
            <w:tcW w:type="dxa" w:w="3300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72B3A"/>
                <w:sz w:val="18"/>
              </w:rPr>
              <w:t>deleteDelivery</w:t>
            </w:r>
          </w:p>
        </w:tc>
        <w:tc>
          <w:tcPr>
            <w:tcW w:type="dxa" w:w="1500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172B3A"/>
                <w:sz w:val="18"/>
              </w:rPr>
              <w:t>DELETE</w:t>
            </w:r>
          </w:p>
        </w:tc>
        <w:tc>
          <w:tcPr>
            <w:tcW w:type="dxa" w:w="4560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72B3A"/>
                <w:sz w:val="18"/>
              </w:rPr>
              <w:t>/api/deliveries/{id}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4D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0A99D"/>
                <w:sz w:val="17"/>
              </w:rPr>
              <w:t xml:space="preserve">SEGURANÇA  </w:t>
            </w: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A connection string permanece apenas nas configurações da Function App. Ela não deve aparecer neste documento nem no GitHub.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00A99D"/>
          <w:sz w:val="17"/>
        </w:rPr>
        <w:t>02 · BANCO DE DADOS</w:t>
      </w:r>
    </w:p>
    <w:p>
      <w:pPr>
        <w:pStyle w:val="Heading1"/>
        <w:spacing w:before="0"/>
      </w:pPr>
      <w:r>
        <w:t>Evidências do MongoDB Atlas</w:t>
      </w:r>
    </w:p>
    <w:p>
      <w:pPr>
        <w:pStyle w:val="Heading2"/>
      </w:pPr>
      <w:r>
        <w:t>Projeto e cluster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Mostrar o projeto CloudLog e o cluster criado, sem credenciais.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pPr>
        <w:pStyle w:val="Heading2"/>
      </w:pPr>
      <w:r>
        <w:t>Banco e coleção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Mostrar cloudlog &gt; deliveries e ao menos um documento de teste.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00A99D"/>
          <w:sz w:val="17"/>
        </w:rPr>
        <w:t>03 · BACKEND</w:t>
      </w:r>
    </w:p>
    <w:p>
      <w:pPr>
        <w:pStyle w:val="Heading1"/>
        <w:spacing w:before="0"/>
      </w:pPr>
      <w:r>
        <w:t>Quatro Azure Functions</w:t>
      </w:r>
    </w:p>
    <w:p>
      <w:pPr>
        <w:pStyle w:val="Heading2"/>
      </w:pPr>
      <w:r>
        <w:t>Lista das funções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Mostrar searchDeliveries, createDelivery, updateDelivery e deleteDelivery no portal Azure.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pPr>
        <w:pStyle w:val="Heading2"/>
      </w:pPr>
      <w:r>
        <w:t>Configuração operacional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Mostrar a Function App em execução. Não revelar valores das configurações protegidas.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00A99D"/>
          <w:sz w:val="17"/>
        </w:rPr>
        <w:t>04 · FRONTEND</w:t>
      </w:r>
    </w:p>
    <w:p>
      <w:pPr>
        <w:pStyle w:val="Heading1"/>
        <w:spacing w:before="0"/>
      </w:pPr>
      <w:r>
        <w:t>Inserir e pesquisar</w:t>
      </w:r>
    </w:p>
    <w:p>
      <w:pPr>
        <w:pStyle w:val="Heading2"/>
      </w:pPr>
      <w:r>
        <w:t>Inserir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Mostrar o formulário preenchido e a nova entrega criada no frontend.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pPr>
        <w:pStyle w:val="Heading2"/>
      </w:pPr>
      <w:r>
        <w:t>Pesquisar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Mostrar a busca pelo código da entrega e o resultado retornado pelo GET.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00A99D"/>
          <w:sz w:val="17"/>
        </w:rPr>
        <w:t>05 · FRONTEND</w:t>
      </w:r>
    </w:p>
    <w:p>
      <w:pPr>
        <w:pStyle w:val="Heading1"/>
        <w:spacing w:before="0"/>
      </w:pPr>
      <w:r>
        <w:t>Alterar e excluir</w:t>
      </w:r>
    </w:p>
    <w:p>
      <w:pPr>
        <w:pStyle w:val="Heading2"/>
      </w:pPr>
      <w:r>
        <w:t>Alterar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Mostrar a mudança de status ou progresso antes e depois do PUT.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pPr>
        <w:pStyle w:val="Heading2"/>
      </w:pPr>
      <w:r>
        <w:t>Excluir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Mostrar a confirmação e a lista atualizada após o DELETE.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00A99D"/>
          <w:sz w:val="17"/>
        </w:rPr>
        <w:t>06 · VERIFICAÇÃO</w:t>
      </w:r>
    </w:p>
    <w:p>
      <w:pPr>
        <w:pStyle w:val="Heading1"/>
        <w:spacing w:before="0"/>
      </w:pPr>
      <w:r>
        <w:t>Persistência e conclusão</w:t>
      </w:r>
    </w:p>
    <w:p>
      <w:pPr>
        <w:pStyle w:val="Heading2"/>
      </w:pPr>
      <w:r>
        <w:t>Estado final no Atlas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B"/>
            <w:vAlign w:val="top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480" w:after="400"/>
              <w:jc w:val="center"/>
            </w:pPr>
            <w:r>
              <w:rPr>
                <w:rFonts w:ascii="Calibri" w:hAnsi="Calibri"/>
                <w:b/>
                <w:i w:val="0"/>
                <w:color w:val="00A99D"/>
                <w:sz w:val="20"/>
              </w:rPr>
              <w:t>INSERIR CAPTURA DE TELA AQUI</w:t>
              <w:br/>
            </w:r>
            <w:r>
              <w:rPr>
                <w:rFonts w:ascii="Calibri" w:hAnsi="Calibri"/>
                <w:b w:val="0"/>
                <w:i/>
                <w:color w:val="5C7182"/>
                <w:sz w:val="17"/>
              </w:rPr>
              <w:t>Mostrar que a alteração foi persistida e que o registro de exclusão não está mais presente.</w:t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  <w:r>
              <w:rPr>
                <w:rFonts w:ascii="Calibri" w:hAnsi="Calibri"/>
                <w:b w:val="0"/>
                <w:i w:val="0"/>
                <w:color w:val="F8FAFB"/>
                <w:sz w:val="14"/>
              </w:rPr>
              <w:t xml:space="preserve"> </w:t>
              <w:br/>
            </w:r>
          </w:p>
        </w:tc>
      </w:tr>
    </w:tbl>
    <w:p>
      <w:pPr>
        <w:pStyle w:val="Heading2"/>
      </w:pPr>
      <w:r>
        <w:t>Conclusão</w:t>
      </w:r>
    </w:p>
    <w:p>
      <w:r>
        <w:t>A integração demonstrou as quatro operações de persistência da aplicação CloudLog. O frontend React enviou requisições HTTP às Azure Functions, que validaram os dados e acessaram a coleção deliveries no MongoDB Atlas. As credenciais permaneceram protegidas nas configurações da Function App.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AF7F5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0A99D"/>
                <w:sz w:val="17"/>
              </w:rPr>
              <w:t xml:space="preserve">CHECKLIST  </w:t>
            </w:r>
            <w:r>
              <w:rPr>
                <w:rFonts w:ascii="Calibri" w:hAnsi="Calibri"/>
                <w:b w:val="0"/>
                <w:i w:val="0"/>
                <w:color w:val="172B3A"/>
                <w:sz w:val="19"/>
              </w:rPr>
              <w:t>Preencher todas as URLs, confirmar o nome da equipe, revisar as capturas e testar novamente o site publicado antes do envio.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C7182"/>
        <w:sz w:val="16"/>
      </w:rPr>
      <w:t>CloudLog Technologies  •  Engenharia de Software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5C7182"/>
        <w:sz w:val="16"/>
      </w:rPr>
      <w:t>CLOUDLOG  /  ATIVIDADE ACADÊMICA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7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230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2304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A99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2304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b w:val="0"/>
      <w:i/>
      <w:iCs/>
      <w:color w:val="5C7182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3 — MongoDB Atlas e CRUD com Azure Functions</dc:title>
  <dc:subject>Modelo de evidências acadêmicas do projeto CloudLog</dc:subject>
  <dc:creator>Grupo PJBL CloudLog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