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lonz0fyj6zz" w:id="0"/>
      <w:bookmarkEnd w:id="0"/>
      <w:r w:rsidDel="00000000" w:rsidR="00000000" w:rsidRPr="00000000">
        <w:rPr>
          <w:rFonts w:ascii="Times New Roman" w:cs="Times New Roman" w:eastAsia="Times New Roman" w:hAnsi="Times New Roman"/>
          <w:b w:val="1"/>
          <w:bCs w:val="1"/>
          <w:sz w:val="34"/>
          <w:szCs w:val="34"/>
          <w:rtl w:val="0"/>
        </w:rPr>
        <w:t xml:space="preserve">Bước 1. Tính tỷ lệ Giá trị / Effort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Tỷ lệ = Giá trị kinh doanh / Effort, làm tròn 2 chữ số thập phân.</w:t>
      </w:r>
    </w:p>
    <w:tbl>
      <w:tblPr>
        <w:tblStyle w:val="Table1"/>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4295"/>
        <w:gridCol w:w="860"/>
        <w:gridCol w:w="920"/>
        <w:gridCol w:w="1730"/>
        <w:tblGridChange w:id="0">
          <w:tblGrid>
            <w:gridCol w:w="605"/>
            <w:gridCol w:w="4295"/>
            <w:gridCol w:w="860"/>
            <w:gridCol w:w="92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 Effort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lịch hẹn qua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lịch tự động trước 24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đăng nhập bằng 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bác sĩ theo chuyên khoa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và chọn khung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khám bệnh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online qua ví điện tử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chấm sao bác sĩ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video call với bác sĩ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doanh thu cho phòng khám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w:t>
            </w:r>
          </w:p>
        </w:tc>
      </w:tr>
    </w:tbl>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Bảng trên cần sắp xếp giảm dần chính xác theo tỷ lệ; thứ tự đúng của F06 và F05 là F06 trước F05.</w:t>
      </w:r>
    </w:p>
    <w:p w:rsidR="00000000" w:rsidDel="00000000" w:rsidP="00000000" w:rsidRDefault="00000000" w:rsidRPr="00000000" w14:paraId="0000003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7gdznszw2ps" w:id="1"/>
      <w:bookmarkEnd w:id="1"/>
      <w:r w:rsidDel="00000000" w:rsidR="00000000" w:rsidRPr="00000000">
        <w:rPr>
          <w:rFonts w:ascii="Times New Roman" w:cs="Times New Roman" w:eastAsia="Times New Roman" w:hAnsi="Times New Roman"/>
          <w:b w:val="1"/>
          <w:bCs w:val="1"/>
          <w:sz w:val="34"/>
          <w:szCs w:val="34"/>
          <w:rtl w:val="0"/>
        </w:rPr>
        <w:t xml:space="preserve">Bước 2. Loại bỏ 2 tính năng có tỷ lệ thấp nhất</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F10 – Bảng thống kê doanh thu cho phòng khám: Tỷ lệ 0,13.</w:t>
      </w:r>
    </w:p>
    <w:p w:rsidR="00000000" w:rsidDel="00000000" w:rsidP="00000000" w:rsidRDefault="00000000" w:rsidRPr="00000000" w14:paraId="0000003D">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F09 – Tư vấn video call với bác sĩ: Tỷ lệ 0,15.</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Hai tính năng này có tỷ lệ giá trị trên effort thấp nhất, nên được loại khỏi lộ trình ban đầu để tập trung nguồn lực vào các chức năng mang lại giá trị cao hơn.</w:t>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efh161ll9an" w:id="2"/>
      <w:bookmarkEnd w:id="2"/>
      <w:r w:rsidDel="00000000" w:rsidR="00000000" w:rsidRPr="00000000">
        <w:rPr>
          <w:rFonts w:ascii="Times New Roman" w:cs="Times New Roman" w:eastAsia="Times New Roman" w:hAnsi="Times New Roman"/>
          <w:b w:val="1"/>
          <w:bCs w:val="1"/>
          <w:sz w:val="34"/>
          <w:szCs w:val="34"/>
          <w:rtl w:val="0"/>
        </w:rPr>
        <w:t xml:space="preserve">Bước 3 và 4. Lộ trình Agile theo chu kỳ 2 tuần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9.3071525055186"/>
        <w:gridCol w:w="3757.4829506144374"/>
        <w:gridCol w:w="953.5321055579351"/>
        <w:gridCol w:w="3205.189602345732"/>
        <w:tblGridChange w:id="0">
          <w:tblGrid>
            <w:gridCol w:w="1109.3071525055186"/>
            <w:gridCol w:w="3757.4829506144374"/>
            <w:gridCol w:w="953.5321055579351"/>
            <w:gridCol w:w="3205.1896023457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 kỳ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tính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khách hàng nhận được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kỳ 1 (Tuần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 – Đăng nhập (5), F02 – Tìm bác sĩ (5), F03 – Đặt lịch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đăng nhập, tìm bác sĩ theo chuyên khoa và đặt lịch khám trên phần mềm chạy được.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kỳ 2 (Tuần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 – Xác nhận lịch hẹn qua SMS (3), F08 – Nhắc lịch tự động (3), F07 – Xem lịch sử khám bệnh (5), F06 – Đánh giá bác sĩ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nhận thông báo lịch hẹn, được nhắc lịch, xem lịch sử khám và đánh giá bác sĩ.</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kỳ 3 (Tuần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 – Thanh toán online qua ví điện tử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thêm lựa chọn thanh toán trực tuyến thuận tiện khi đặt lịch khám.</w:t>
            </w:r>
          </w:p>
        </w:tc>
      </w:tr>
    </w:tbl>
    <w:p w:rsidR="00000000" w:rsidDel="00000000" w:rsidP="00000000" w:rsidRDefault="00000000" w:rsidRPr="00000000" w14:paraId="00000050">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