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Python.</w:t>
      </w:r>
    </w:p>
    <w:p>
      <w:pPr>
        <w:pStyle w:val="BodyText0"/>
        <w:spacing w:before="0" w:after="0"/>
        <w:ind w:left="0" w:right="0"/>
        <w:rPr>
          <w:sz w:val="20"/>
          <w:szCs w:val="20"/>
        </w:rPr>
      </w:pPr>
      <w:r>
        <w:rPr>
          <w:rFonts w:ascii="Times New Roman" w:eastAsia="Times New Roman" w:hAnsi="Times New Roman" w:cs="Times New Roman"/>
          <w:sz w:val="20"/>
          <w:szCs w:val="20"/>
        </w:rPr>
        <w:t xml:space="preserve"> </w:t>
      </w:r>
    </w:p>
    <w:p>
      <w:pPr>
        <w:pStyle w:val="BodyText0"/>
        <w:spacing w:before="6" w:after="0"/>
        <w:ind w:left="0" w:right="0"/>
        <w:rPr>
          <w:sz w:val="21"/>
          <w:szCs w:val="21"/>
        </w:rPr>
      </w:pPr>
      <w:r>
        <w:rPr>
          <w:rFonts w:ascii="Times New Roman" w:eastAsia="Times New Roman" w:hAnsi="Times New Roman" w:cs="Times New Roman"/>
          <w:sz w:val="21"/>
          <w:szCs w:val="21"/>
        </w:rPr>
        <w:t xml:space="preserve"> </w:t>
      </w:r>
    </w:p>
    <w:p>
      <w:pPr>
        <w:pStyle w:val="p"/>
        <w:spacing w:before="0" w:after="0"/>
        <w:ind w:left="0" w:right="0"/>
        <w:sectPr>
          <w:footerReference w:type="default" r:id="rId3"/>
          <w:pgSz w:w="11907" w:h="16839"/>
          <w:pgMar w:top="1440" w:right="1440" w:bottom="1440" w:left="1440" w:header="708" w:footer="708" w:gutter="0"/>
          <w:titlePg/>
        </w:sectPr>
      </w:pPr>
    </w:p>
    <w:p>
      <w:pPr>
        <w:pStyle w:val="BodyText0"/>
        <w:spacing w:before="0" w:after="0"/>
        <w:ind w:left="0" w:right="0"/>
        <w:rPr>
          <w:sz w:val="61"/>
          <w:szCs w:val="61"/>
        </w:rPr>
      </w:pPr>
      <w:r>
        <w:rPr>
          <w:rFonts w:ascii="Times New Roman" w:eastAsia="Times New Roman" w:hAnsi="Times New Roman" w:cs="Times New Roman"/>
          <w:sz w:val="61"/>
          <w:szCs w:val="61"/>
        </w:rPr>
        <w:t xml:space="preserve"> </w:t>
      </w:r>
    </w:p>
    <w:p>
      <w:pPr>
        <w:pStyle w:val="p"/>
        <w:spacing w:before="0" w:after="0"/>
        <w:ind w:left="351" w:right="0"/>
        <w:rPr>
          <w:sz w:val="48"/>
          <w:szCs w:val="48"/>
        </w:rPr>
      </w:pPr>
      <w:bookmarkStart w:id="0" w:name="Diapositive_1"/>
      <w:bookmarkEnd w:id="0"/>
      <w:r>
        <w:rPr>
          <w:b/>
          <w:bCs/>
          <w:color w:val="252525"/>
          <w:sz w:val="48"/>
          <w:szCs w:val="48"/>
        </w:rPr>
        <w:t xml:space="preserve">CHRISTOPHER ECK</w:t>
      </w:r>
    </w:p>
    <w:p>
      <w:pPr>
        <w:pStyle w:val="p"/>
        <w:spacing w:before="143" w:after="0"/>
        <w:ind w:left="351" w:right="0"/>
        <w:rPr>
          <w:sz w:val="24"/>
          <w:szCs w:val="24"/>
        </w:rPr>
      </w:pPr>
      <w:r>
        <w:rPr>
          <w:color w:val="252525"/>
          <w:sz w:val="24"/>
          <w:szCs w:val="24"/>
        </w:rPr>
        <w:t xml:space="preserve">Data Engineer</w:t>
      </w:r>
    </w:p>
    <w:p>
      <w:pPr>
        <w:pStyle w:val="BodyText0"/>
        <w:spacing w:before="0" w:after="0"/>
        <w:ind w:left="0" w:right="0"/>
        <w:rPr>
          <w:sz w:val="20"/>
          <w:szCs w:val="20"/>
        </w:rPr>
      </w:pPr>
      <w:r>
        <w:rPr>
          <w:sz w:val="18"/>
          <w:szCs w:val="18"/>
        </w:rPr>
      </w:r>
      <w:r>
        <w:rPr>
          <w:sz w:val="20"/>
          <w:szCs w:val="20"/>
        </w:rPr>
        <w:t xml:space="preserve"> </w:t>
      </w:r>
    </w:p>
    <w:p>
      <w:pPr>
        <w:pStyle w:val="BodyText0"/>
        <w:spacing w:before="0" w:after="0"/>
        <w:ind w:left="0" w:right="0"/>
        <w:rPr>
          <w:sz w:val="20"/>
          <w:szCs w:val="20"/>
        </w:rPr>
      </w:pPr>
      <w:r>
        <w:rPr>
          <w:sz w:val="20"/>
          <w:szCs w:val="20"/>
        </w:rPr>
        <w:t xml:space="preserve"> </w:t>
      </w:r>
    </w:p>
    <w:p>
      <w:pPr>
        <w:spacing w:after="0"/>
        <w:ind w:left="0" w:right="0"/>
        <w:rPr>
          <w:sz w:val="18"/>
          <w:szCs w:val="18"/>
        </w:rPr>
      </w:pPr>
      <w:r>
        <w:rPr>
          <w:sz w:val="20"/>
          <w:szCs w:val="20"/>
        </w:rPr>
        <w:t xml:space="preserve"> </w:t>
      </w:r>
    </w:p>
    <w:p>
      <w:pPr>
        <w:pStyle w:val="BodyText0"/>
        <w:spacing w:before="1" w:after="0"/>
        <w:ind w:left="0" w:right="0"/>
        <w:rPr>
          <w:sz w:val="19"/>
          <w:szCs w:val="19"/>
        </w:rPr>
      </w:pPr>
      <w:r>
        <w:rPr>
          <w:sz w:val="19"/>
          <w:szCs w:val="19"/>
        </w:rPr>
        <w:t xml:space="preserve"> </w:t>
      </w:r>
    </w:p>
    <w:p>
      <w:pPr>
        <w:pStyle w:val="p"/>
        <w:spacing w:before="103" w:after="0"/>
        <w:ind w:left="0" w:right="403" w:firstLine="323"/>
        <w:rPr>
          <w:sz w:val="18"/>
          <w:szCs w:val="18"/>
        </w:rPr>
      </w:pPr>
      <w:r/>
      <w:r>
        <w:rPr>
          <w:color w:val="252525"/>
          <w:sz w:val="18"/>
          <w:szCs w:val="18"/>
          <w:u w:val="single" w:color="252525"/>
        </w:rPr>
        <w:t xml:space="preserve">Nous contacter</w:t>
      </w:r>
      <w:r>
        <w:rPr>
          <w:color w:val="252525"/>
          <w:sz w:val="18"/>
          <w:szCs w:val="18"/>
          <w:u w:val="single" w:color="252525"/>
        </w:rPr>
        <w:t xml:space="preserve"> </w:t>
      </w:r>
      <w:r>
        <w:rPr>
          <w:color w:val="252525"/>
          <w:sz w:val="18"/>
          <w:szCs w:val="18"/>
          <w:u w:val="single" w:color="252525"/>
        </w:rPr>
        <w:t xml:space="preserve">:</w:t>
      </w:r>
    </w:p>
    <w:p>
      <w:pPr>
        <w:pStyle w:val="p"/>
        <w:spacing w:before="122" w:after="0"/>
        <w:ind w:left="0" w:right="453" w:firstLine="323"/>
        <w:rPr>
          <w:sz w:val="18"/>
          <w:szCs w:val="18"/>
        </w:rPr>
      </w:pPr>
      <w:r>
        <w:rPr>
          <w:color w:val="252525"/>
          <w:sz w:val="18"/>
          <w:szCs w:val="18"/>
        </w:rPr>
        <w:t xml:space="preserve"> </w:t>
      </w:r>
      <w:r>
        <w:rPr>
          <w:b/>
          <w:bCs/>
          <w:color w:val="252525"/>
          <w:sz w:val="18"/>
          <w:szCs w:val="18"/>
        </w:rPr>
        <w:t xml:space="preserve">06.14.15.10.85</w:t>
      </w:r>
    </w:p>
    <w:p>
      <w:pPr>
        <w:pStyle w:val="BodyText0"/>
        <w:spacing w:before="0" w:after="0"/>
        <w:ind w:left="0" w:right="0" w:firstLine="323"/>
        <w:rPr>
          <w:sz w:val="18"/>
          <w:szCs w:val="18"/>
        </w:rPr>
      </w:pPr>
      <w:r>
        <w:rPr>
          <w:b/>
          <w:bCs/>
          <w:color w:val="252525"/>
        </w:rPr>
        <w:t xml:space="preserve">  jba@nrjbi.com</w:t>
      </w:r>
    </w:p>
    <w:p>
      <w:pPr>
        <w:pStyle w:val="BodyText0"/>
        <w:spacing w:before="4" w:after="0"/>
        <w:ind w:left="0" w:right="0"/>
        <w:rPr>
          <w:sz w:val="20"/>
          <w:szCs w:val="20"/>
        </w:rPr>
      </w:pPr>
      <w:r>
        <w:rPr>
          <w:sz w:val="20"/>
          <w:szCs w:val="20"/>
        </w:rPr>
        <w:t xml:space="preserve"> </w:t>
      </w:r>
    </w:p>
    <w:p>
      <w:pPr>
        <w:pStyle w:val="BodyText0"/>
        <w:spacing w:before="0" w:after="0" w:line="257" w:lineRule="atLeast"/>
        <w:ind w:left="323" w:right="85"/>
        <w:jc w:val="center"/>
        <w:rPr>
          <w:sz w:val="18"/>
          <w:szCs w:val="18"/>
        </w:rPr>
        <w:sectPr>
          <w:type w:val="continuous"/>
          <w:pgSz w:w="11907" w:h="16839"/>
          <w:pgMar w:top="1440" w:right="1440" w:bottom="1440" w:left="1440" w:header="708" w:footer="708" w:gutter="0"/>
          <w:titlePg/>
        </w:sectPr>
      </w:pPr>
      <w:r>
        <w:rPr>
          <w:rFonts w:ascii="Times New Roman" w:eastAsia="Times New Roman" w:hAnsi="Times New Roman" w:cs="Times New Roman"/>
          <w:sz w:val="20"/>
          <w:szCs w:val="20"/>
        </w:rPr>
        <w:t xml:space="preserve"> </w:t>
      </w:r>
    </w:p>
    <w:p>
      <w:pPr>
        <w:pStyle w:val="BodyText0"/>
        <w:spacing w:before="5" w:after="0"/>
        <w:ind w:left="0" w:right="0"/>
        <w:rPr>
          <w:sz w:val="16"/>
          <w:szCs w:val="16"/>
        </w:rPr>
      </w:pPr>
      <w:r>
        <w:rPr>
          <w:sz w:val="16"/>
          <w:szCs w:val="16"/>
        </w:rPr>
        <w:t xml:space="preserve"> </w:t>
      </w:r>
    </w:p>
    <w:p>
      <w:pPr>
        <w:pStyle w:val="BodyText0"/>
        <w:spacing w:before="0" w:after="0"/>
        <w:ind w:left="0" w:right="0"/>
        <w:rPr>
          <w:sz w:val="20"/>
          <w:szCs w:val="20"/>
        </w:rPr>
      </w:pPr>
      <w:r>
        <w:rPr>
          <w:sz w:val="20"/>
          <w:szCs w:val="20"/>
        </w:rPr>
        <w:t xml:space="preserve"> </w:t>
      </w:r>
    </w:p>
    <w:p>
      <w:pPr>
        <w:pStyle w:val="BodyText0"/>
        <w:spacing w:before="7" w:after="0"/>
        <w:ind w:left="0" w:right="0"/>
        <w:rPr>
          <w:sz w:val="18"/>
          <w:szCs w:val="18"/>
        </w:rPr>
      </w:pPr>
      <w:r>
        <w:t xml:space="preserve"> </w:t>
      </w:r>
    </w:p>
    <w:p>
      <w:pPr>
        <w:pStyle w:val="Heading1"/>
        <w:keepNext w:val="0"/>
        <w:keepLines w:val="0"/>
        <w:spacing w:before="98"/>
        <w:ind w:left="351" w:right="0"/>
        <w:rPr>
          <w:b w:val="0"/>
          <w:bCs w:val="0"/>
          <w:sz w:val="24"/>
          <w:szCs w:val="24"/>
        </w:rPr>
      </w:pPr>
      <w:r>
        <w:rPr>
          <w:b w:val="0"/>
          <w:bCs w:val="0"/>
          <w:sz w:val="24"/>
          <w:szCs w:val="24"/>
        </w:rPr>
        <w:br/>
      </w:r>
      <w:r>
        <w:rPr>
          <w:i w:val="0"/>
          <w:color w:val="093653"/>
        </w:rPr>
        <w:t xml:space="preserve">Présentation</w:t>
      </w:r>
    </w:p>
    <w:p>
      <w:pPr>
        <w:pStyle w:val="BodyText0"/>
        <w:spacing w:before="8" w:after="0"/>
        <w:ind w:left="0" w:right="0"/>
        <w:rPr>
          <w:sz w:val="10"/>
          <w:szCs w:val="10"/>
        </w:rPr>
      </w:pPr>
      <w:r>
        <w:rPr>
          <w:sz w:val="10"/>
          <w:szCs w:val="10"/>
        </w:rPr>
        <w:t xml:space="preserve"> </w:t>
      </w:r>
    </w:p>
    <w:p>
      <w:pPr>
        <w:pStyle w:val="BodyText0"/>
        <w:spacing w:before="0" w:after="0"/>
        <w:ind w:left="0" w:right="0"/>
        <w:rPr>
          <w:sz w:val="18"/>
          <w:szCs w:val="18"/>
        </w:rPr>
      </w:pPr>
      <w:r>
        <w:rPr>
          <w:color w:val="252525"/>
        </w:rPr>
        <w:t xml:space="preserve">Data Engineer expérimenté dans la conception, le développement et la maintenance de pipelines de données robustes et performants. Solide expertise en modélisation, scripting SQL et utilisation d'outils ETL (SSIS, Synapse), avec une capacité d'adaptation rapide à de nouveaux environnements comme Talend et Oracle. Expérience en définition de standards et en accompagnement technique d'équipe.</w:t>
      </w:r>
    </w:p>
    <w:p>
      <w:pPr>
        <w:pStyle w:val="BodyText0"/>
        <w:spacing w:before="0" w:after="0"/>
        <w:ind w:left="0" w:right="0"/>
        <w:rPr>
          <w:sz w:val="20"/>
          <w:szCs w:val="20"/>
        </w:rPr>
      </w:pPr>
      <w:r>
        <w:rPr>
          <w:sz w:val="20"/>
          <w:szCs w:val="20"/>
        </w:rPr>
        <w:t xml:space="preserve"> </w:t>
      </w:r>
    </w:p>
    <w:p>
      <w:pPr>
        <w:pStyle w:val="BodyText0"/>
        <w:spacing w:before="2" w:after="0"/>
        <w:ind w:left="0" w:right="0"/>
        <w:rPr>
          <w:sz w:val="16"/>
          <w:szCs w:val="16"/>
        </w:rPr>
      </w:pPr>
      <w:r>
        <w:rPr>
          <w:sz w:val="16"/>
          <w:szCs w:val="16"/>
        </w:rPr>
        <w:t xml:space="preserve"> </w:t>
      </w:r>
    </w:p>
    <w:p>
      <w:pPr>
        <w:pStyle w:val="Heading1"/>
        <w:keepNext w:val="0"/>
        <w:keepLines w:val="0"/>
        <w:spacing w:before="97"/>
        <w:ind w:left="351" w:right="0"/>
        <w:rPr>
          <w:b w:val="0"/>
          <w:bCs w:val="0"/>
          <w:sz w:val="24"/>
          <w:szCs w:val="24"/>
        </w:rPr>
      </w:pPr>
      <w:r>
        <w:rPr>
          <w:b w:val="0"/>
          <w:bCs w:val="0"/>
          <w:sz w:val="24"/>
          <w:szCs w:val="24"/>
        </w:rPr>
        <w:br/>
      </w:r>
      <w:r>
        <w:rPr>
          <w:i w:val="0"/>
          <w:color w:val="093653"/>
        </w:rPr>
        <w:t xml:space="preserve">Compétences</w:t>
      </w:r>
    </w:p>
    <w:p>
      <w:pPr>
        <w:pStyle w:val="BodyText0"/>
        <w:spacing w:before="1" w:after="0"/>
        <w:ind w:left="0" w:right="0"/>
        <w:rPr>
          <w:sz w:val="14"/>
          <w:szCs w:val="14"/>
        </w:rPr>
      </w:pPr>
      <w:r>
        <w:rPr>
          <w:sz w:val="14"/>
          <w:szCs w:val="14"/>
        </w:rPr>
        <w:t xml:space="preserve"> </w:t>
      </w:r>
    </w:p>
    <w:tbl>
      <w:tblPr>
        <w:tblStyle w:val="NormalTable"/>
        <w:tblInd w:w="119" w:type="dxa"/>
        <w:tblCellMar>
          <w:top w:w="0" w:type="dxa"/>
          <w:left w:w="0" w:type="dxa"/>
          <w:bottom w:w="0" w:type="dxa"/>
          <w:right w:w="0" w:type="dxa"/>
        </w:tblCellMar>
        <w:tblLook w:val="05E0"/>
      </w:tblPr>
      <w:tblGrid>
        <w:gridCol w:w="1963"/>
        <w:gridCol w:w="6946"/>
      </w:tblGrid>
      <w:tr>
        <w:tblPrEx>
          <w:tblInd w:w="119" w:type="dxa"/>
          <w:tblCellMar>
            <w:top w:w="0" w:type="dxa"/>
            <w:left w:w="0" w:type="dxa"/>
            <w:bottom w:w="0" w:type="dxa"/>
            <w:right w:w="0" w:type="dxa"/>
          </w:tblCellMar>
          <w:tblLook w:val="05E0"/>
        </w:tblPrEx>
        <w:trPr>
          <w:trHeight w:val="344"/>
        </w:trPr>
        <w:tc>
          <w:tcPr>
            <w:tcW w:w="2161" w:type="dxa"/>
            <w:tcBorders>
              <w:bottom w:val="single" w:sz="12" w:space="0" w:color="FFFFFF"/>
              <w:right w:val="single" w:sz="8" w:space="0" w:color="FFFFFF"/>
            </w:tcBorders>
            <w:shd w:val="clear" w:color="auto" w:fill="F5F5F5"/>
            <w:noWrap w:val="0"/>
            <w:tcMar>
              <w:top w:w="5" w:type="dxa"/>
              <w:left w:w="5" w:type="dxa"/>
              <w:bottom w:w="15" w:type="dxa"/>
              <w:right w:w="10" w:type="dxa"/>
            </w:tcMar>
            <w:vAlign w:val="top"/>
          </w:tcPr>
          <w:p>
            <w:pPr>
              <w:pStyle w:val="TableParagraph"/>
              <w:spacing w:before="73" w:after="0"/>
              <w:ind w:left="228" w:right="0"/>
              <w:rPr>
                <w:b w:val="0"/>
                <w:bCs w:val="0"/>
                <w:i w:val="0"/>
                <w:iCs w:val="0"/>
                <w:smallCaps w:val="0"/>
                <w:color w:val="000000"/>
                <w:sz w:val="18"/>
                <w:szCs w:val="18"/>
              </w:rPr>
            </w:pPr>
            <w:r>
              <w:rPr>
                <w:b/>
                <w:bCs/>
                <w:i w:val="0"/>
                <w:iCs w:val="0"/>
                <w:smallCaps w:val="0"/>
                <w:color w:val="252525"/>
                <w:sz w:val="18"/>
                <w:szCs w:val="18"/>
              </w:rPr>
              <w:t xml:space="preserve">ETL / Pipelines Data</w:t>
            </w:r>
          </w:p>
        </w:tc>
        <w:tc>
          <w:tcPr>
            <w:tcW w:w="6930" w:type="dxa"/>
            <w:tcBorders>
              <w:left w:val="single" w:sz="8" w:space="0" w:color="FFFFFF"/>
              <w:bottom w:val="single" w:sz="12" w:space="0" w:color="FFFFFF"/>
            </w:tcBorders>
            <w:noWrap w:val="0"/>
            <w:tcMar>
              <w:top w:w="5" w:type="dxa"/>
              <w:left w:w="10" w:type="dxa"/>
              <w:bottom w:w="15" w:type="dxa"/>
              <w:right w:w="5" w:type="dxa"/>
            </w:tcMar>
            <w:vAlign w:val="top"/>
          </w:tcPr>
          <w:p>
            <w:pPr>
              <w:pStyle w:val="TableParagraph"/>
              <w:spacing w:before="73" w:after="0"/>
              <w:ind w:left="139" w:right="0"/>
              <w:rPr>
                <w:b w:val="0"/>
                <w:bCs w:val="0"/>
                <w:i w:val="0"/>
                <w:iCs w:val="0"/>
                <w:smallCaps w:val="0"/>
                <w:color w:val="000000"/>
                <w:sz w:val="18"/>
                <w:szCs w:val="18"/>
              </w:rPr>
            </w:pPr>
            <w:r>
              <w:rPr>
                <w:b w:val="0"/>
                <w:bCs w:val="0"/>
                <w:i w:val="0"/>
                <w:iCs w:val="0"/>
                <w:smallCaps w:val="0"/>
                <w:color w:val="252525"/>
                <w:sz w:val="18"/>
                <w:szCs w:val="18"/>
              </w:rPr>
              <w:t xml:space="preserve">Conception, développement et maintenance de pipelines de données complexes (Talend, SSIS, Azure Synapse). Automatisation et ordonnancement de flux.</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Bases de Données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Modélisation de données, création de schémas, tables et vues dans des BDD relationnelles (Oracle, SQL Server).</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Langages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z w:val="18"/>
                <w:szCs w:val="18"/>
              </w:rPr>
              <w:t xml:space="preserve">Excellente maîtrise de SQL. Solide expérience en R. Connaissances en Python, PySpark, Java.</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Versioning &amp; Outils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z w:val="18"/>
                <w:szCs w:val="18"/>
              </w:rPr>
              <w:t xml:space="preserve">Git (Github, Bitbucket, Azure DevOps), Confluence, Jira, ServiceNow.</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Dataviz</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Notions de Data Visualisation pour la compréhension des besoins (Tableau, QlikView, Power BI).</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noWrap w:val="0"/>
            <w:tcMar>
              <w:top w:w="15" w:type="dxa"/>
              <w:left w:w="5" w:type="dxa"/>
              <w:bottom w:w="15" w:type="dxa"/>
              <w:right w:w="10"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Gouvernance &amp; Standards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Définition de standards de développement, nommage et documentation.</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Collaboration</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Méthodologie Agile. Support technique et fonctionnel aux utilisateurs. Collaboration avec les équipes BI, métier et IT.</w:t>
            </w:r>
          </w:p>
        </w:tc>
      </w:tr>
      <w:tr>
        <w:tblPrEx>
          <w:tblCellMar>
            <w:top w:w="0" w:type="dxa"/>
            <w:left w:w="0" w:type="dxa"/>
            <w:bottom w:w="0" w:type="dxa"/>
            <w:right w:w="0" w:type="dxa"/>
          </w:tblCellMar>
          <w:tblLook w:val="05E0"/>
        </w:tblPrEx>
        <w:trPr>
          <w:trHeight w:val="561"/>
        </w:trPr>
        <w:tc>
          <w:tcPr>
            <w:tcW w:w="2161" w:type="dxa"/>
            <w:tcBorders>
              <w:top w:val="single" w:sz="12" w:space="0" w:color="FFFFFF"/>
              <w:right w:val="single" w:sz="8" w:space="0" w:color="FFFFFF"/>
            </w:tcBorders>
            <w:shd w:val="clear" w:color="auto" w:fill="F5F5F5"/>
            <w:noWrap w:val="0"/>
            <w:tcMar>
              <w:top w:w="15" w:type="dxa"/>
              <w:left w:w="5" w:type="dxa"/>
              <w:bottom w:w="5" w:type="dxa"/>
              <w:right w:w="10" w:type="dxa"/>
            </w:tcMar>
            <w:vAlign w:val="top"/>
          </w:tcPr>
          <w:p>
            <w:pPr>
              <w:pStyle w:val="TableParagraph"/>
              <w:spacing w:before="169" w:after="0"/>
              <w:ind w:left="228" w:right="0"/>
              <w:rPr>
                <w:b w:val="0"/>
                <w:bCs w:val="0"/>
                <w:i w:val="0"/>
                <w:iCs w:val="0"/>
                <w:smallCaps w:val="0"/>
                <w:color w:val="000000"/>
                <w:sz w:val="18"/>
                <w:szCs w:val="18"/>
              </w:rPr>
            </w:pPr>
            <w:r>
              <w:rPr>
                <w:b/>
                <w:bCs/>
                <w:i w:val="0"/>
                <w:iCs w:val="0"/>
                <w:smallCaps w:val="0"/>
                <w:color w:val="252525"/>
                <w:sz w:val="18"/>
                <w:szCs w:val="18"/>
              </w:rPr>
              <w:t xml:space="preserve">Domaines</w:t>
            </w:r>
            <w:r>
              <w:rPr>
                <w:b/>
                <w:bCs/>
                <w:i w:val="0"/>
                <w:iCs w:val="0"/>
                <w:smallCaps w:val="0"/>
                <w:color w:val="252525"/>
                <w:sz w:val="18"/>
                <w:szCs w:val="18"/>
              </w:rPr>
              <w:t xml:space="preserve"> métier</w:t>
            </w:r>
          </w:p>
        </w:tc>
        <w:tc>
          <w:tcPr>
            <w:tcW w:w="6930" w:type="dxa"/>
            <w:tcBorders>
              <w:top w:val="single" w:sz="12" w:space="0" w:color="FFFFFF"/>
              <w:left w:val="single" w:sz="8" w:space="0" w:color="FFFFFF"/>
            </w:tcBorders>
            <w:noWrap w:val="0"/>
            <w:tcMar>
              <w:top w:w="15" w:type="dxa"/>
              <w:left w:w="10" w:type="dxa"/>
              <w:bottom w:w="5" w:type="dxa"/>
              <w:right w:w="5" w:type="dxa"/>
            </w:tcMar>
            <w:vAlign w:val="top"/>
          </w:tcPr>
          <w:p>
            <w:pPr>
              <w:pStyle w:val="TableParagraph"/>
              <w:spacing w:before="61" w:after="0"/>
              <w:ind w:left="139" w:right="0"/>
              <w:rPr>
                <w:b w:val="0"/>
                <w:bCs w:val="0"/>
                <w:i w:val="0"/>
                <w:iCs w:val="0"/>
                <w:smallCaps w:val="0"/>
                <w:color w:val="000000"/>
                <w:sz w:val="18"/>
                <w:szCs w:val="18"/>
              </w:rPr>
            </w:pPr>
            <w:r>
              <w:rPr>
                <w:b w:val="0"/>
                <w:bCs w:val="0"/>
                <w:i w:val="0"/>
                <w:iCs w:val="0"/>
                <w:smallCaps w:val="0"/>
                <w:color w:val="252525"/>
                <w:sz w:val="18"/>
                <w:szCs w:val="18"/>
              </w:rPr>
              <w:t xml:space="preserve">Automobile : Fabrication usine, ventes, après-vente, marketing, finance</w:t>
            </w:r>
          </w:p>
          <w:p>
            <w:pPr>
              <w:pStyle w:val="TableParagraph"/>
              <w:spacing w:before="19" w:after="0"/>
              <w:ind w:left="139" w:right="0"/>
              <w:rPr>
                <w:b w:val="0"/>
                <w:bCs w:val="0"/>
                <w:i w:val="0"/>
                <w:iCs w:val="0"/>
                <w:smallCaps w:val="0"/>
                <w:color w:val="000000"/>
                <w:sz w:val="18"/>
                <w:szCs w:val="18"/>
              </w:rPr>
            </w:pPr>
            <w:r>
              <w:rPr>
                <w:b w:val="0"/>
                <w:bCs w:val="0"/>
                <w:i w:val="0"/>
                <w:iCs w:val="0"/>
                <w:smallCaps w:val="0"/>
                <w:color w:val="252525"/>
                <w:sz w:val="18"/>
                <w:szCs w:val="18"/>
              </w:rPr>
              <w:t xml:space="preserve">Construction : Fabrication usine, suivi des stocks, transport, ventes, après-vente</w:t>
            </w:r>
          </w:p>
        </w:tc>
      </w:tr>
    </w:tbl>
    <w:p>
      <w:pPr>
        <w:pStyle w:val="BodyText0"/>
        <w:spacing w:before="0" w:after="0"/>
        <w:ind w:left="0" w:right="0"/>
        <w:rPr>
          <w:sz w:val="28"/>
          <w:szCs w:val="28"/>
        </w:rPr>
      </w:pPr>
      <w:r>
        <w:rPr>
          <w:sz w:val="28"/>
          <w:szCs w:val="28"/>
        </w:rPr>
        <w:t xml:space="preserve"> </w:t>
      </w:r>
    </w:p>
    <w:p>
      <w:pPr>
        <w:pStyle w:val="p"/>
        <w:spacing w:before="243" w:after="0"/>
        <w:ind w:left="351" w:right="0"/>
        <w:rPr>
          <w:sz w:val="24"/>
          <w:szCs w:val="24"/>
        </w:rPr>
      </w:pPr>
      <w:r>
        <w:rPr>
          <w:color w:val="093653"/>
          <w:sz w:val="24"/>
          <w:szCs w:val="24"/>
        </w:rPr>
        <w:t xml:space="preserve">Expériences</w:t>
      </w:r>
      <w:r>
        <w:rPr>
          <w:color w:val="093653"/>
          <w:sz w:val="24"/>
          <w:szCs w:val="24"/>
        </w:rPr>
        <w:t xml:space="preserve"> - </w:t>
      </w:r>
      <w:r>
        <w:rPr>
          <w:color w:val="093653"/>
          <w:sz w:val="24"/>
          <w:szCs w:val="24"/>
        </w:rPr>
        <w:t xml:space="preserve">Clés</w:t>
      </w:r>
    </w:p>
    <w:p>
      <w:pPr>
        <w:pStyle w:val="BodyText0"/>
        <w:spacing w:before="8" w:after="0"/>
        <w:ind w:left="0" w:right="0"/>
        <w:rPr>
          <w:sz w:val="6"/>
          <w:szCs w:val="6"/>
        </w:rPr>
      </w:pPr>
      <w:r>
        <w:rPr>
          <w:sz w:val="6"/>
          <w:szCs w:val="6"/>
        </w:rPr>
        <w:t xml:space="preserve"> </w:t>
      </w:r>
    </w:p>
    <w:tbl>
      <w:tblPr>
        <w:tblStyle w:val="NormalTable"/>
        <w:tblInd w:w="119" w:type="dxa"/>
        <w:tblCellMar>
          <w:top w:w="0" w:type="dxa"/>
          <w:left w:w="0" w:type="dxa"/>
          <w:bottom w:w="0" w:type="dxa"/>
          <w:right w:w="0" w:type="dxa"/>
        </w:tblCellMar>
        <w:tblLook w:val="05E0"/>
      </w:tblPr>
      <w:tblGrid>
        <w:gridCol w:w="4012"/>
        <w:gridCol w:w="4897"/>
      </w:tblGrid>
      <w:tr>
        <w:tblPrEx>
          <w:tblInd w:w="119" w:type="dxa"/>
          <w:tblCellMar>
            <w:top w:w="0" w:type="dxa"/>
            <w:left w:w="0" w:type="dxa"/>
            <w:bottom w:w="0" w:type="dxa"/>
            <w:right w:w="0" w:type="dxa"/>
          </w:tblCellMar>
          <w:tblLook w:val="05E0"/>
        </w:tblPrEx>
        <w:trPr>
          <w:trHeight w:val="289"/>
        </w:trPr>
        <w:tc>
          <w:tcPr>
            <w:tcW w:w="4084"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4996"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8"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w:t>
            </w:r>
          </w:p>
        </w:tc>
        <w:tc>
          <w:tcPr>
            <w:tcW w:w="4996" w:type="dxa"/>
            <w:shd w:val="clear" w:color="auto" w:fill="00AEE0"/>
            <w:noWrap w:val="0"/>
            <w:tcMar>
              <w:top w:w="5" w:type="dxa"/>
              <w:left w:w="5" w:type="dxa"/>
              <w:bottom w:w="5" w:type="dxa"/>
              <w:right w:w="5" w:type="dxa"/>
            </w:tcMar>
            <w:vAlign w:val="top"/>
          </w:tcPr>
          <w:p>
            <w:pPr>
              <w:pStyle w:val="TableParagraph"/>
              <w:spacing w:before="78" w:after="0"/>
              <w:ind w:left="0" w:right="125"/>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Mars 2023 – </w:t>
            </w:r>
            <w:r>
              <w:rPr>
                <w:b w:val="0"/>
                <w:bCs w:val="0"/>
                <w:i w:val="0"/>
                <w:iCs w:val="0"/>
                <w:smallCaps w:val="0"/>
                <w:color w:val="FFFFFF"/>
                <w:sz w:val="18"/>
                <w:szCs w:val="18"/>
              </w:rPr>
              <w:t xml:space="preserve">Août</w:t>
            </w:r>
            <w:r>
              <w:rPr>
                <w:b w:val="0"/>
                <w:bCs w:val="0"/>
                <w:i w:val="0"/>
                <w:iCs w:val="0"/>
                <w:smallCaps w:val="0"/>
                <w:color w:val="FFFFFF"/>
                <w:sz w:val="18"/>
                <w:szCs w:val="18"/>
              </w:rPr>
              <w:t xml:space="preserve"> 2025</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79" w:after="0"/>
              <w:ind w:left="0" w:right="0"/>
              <w:rPr>
                <w:b w:val="0"/>
                <w:bCs w:val="0"/>
                <w:i w:val="0"/>
                <w:iCs w:val="0"/>
                <w:smallCaps w:val="0"/>
                <w:color w:val="000000"/>
                <w:sz w:val="18"/>
                <w:szCs w:val="18"/>
              </w:rPr>
            </w:pPr>
            <w:r>
              <w:rPr>
                <w:b w:val="0"/>
                <w:bCs w:val="0"/>
                <w:i w:val="0"/>
                <w:iCs w:val="0"/>
                <w:smallCaps w:val="0"/>
                <w:color w:val="252525"/>
                <w:sz w:val="18"/>
                <w:szCs w:val="18"/>
              </w:rPr>
              <w:t xml:space="preserve">Pilotage de la migration de l'architecture data vers Azure et développement des nouveaux pipelines de données.</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9" w:after="0"/>
              <w:ind w:left="145" w:right="0"/>
              <w:rPr>
                <w:b w:val="0"/>
                <w:bCs w:val="0"/>
                <w:i w:val="0"/>
                <w:iCs w:val="0"/>
                <w:smallCaps w:val="0"/>
                <w:color w:val="000000"/>
                <w:sz w:val="18"/>
                <w:szCs w:val="18"/>
              </w:rPr>
            </w:pPr>
            <w:r>
              <w:rPr>
                <w:b w:val="0"/>
                <w:bCs w:val="0"/>
                <w:i w:val="0"/>
                <w:iCs w:val="0"/>
                <w:smallCaps w:val="0"/>
                <w:color w:val="FFFFFF"/>
                <w:sz w:val="18"/>
                <w:szCs w:val="18"/>
              </w:rPr>
              <w:t xml:space="preserve">Développeur</w:t>
            </w:r>
            <w:r>
              <w:rPr>
                <w:b w:val="0"/>
                <w:bCs w:val="0"/>
                <w:i w:val="0"/>
                <w:iCs w:val="0"/>
                <w:smallCaps w:val="0"/>
                <w:color w:val="FFFFFF"/>
                <w:sz w:val="18"/>
                <w:szCs w:val="18"/>
              </w:rPr>
              <w:t xml:space="preserve"> BI &amp; Data</w:t>
            </w:r>
          </w:p>
        </w:tc>
        <w:tc>
          <w:tcPr>
            <w:tcW w:w="4996" w:type="dxa"/>
            <w:shd w:val="clear" w:color="auto" w:fill="00AEE0"/>
            <w:noWrap w:val="0"/>
            <w:tcMar>
              <w:top w:w="5" w:type="dxa"/>
              <w:left w:w="5" w:type="dxa"/>
              <w:bottom w:w="5" w:type="dxa"/>
              <w:right w:w="5" w:type="dxa"/>
            </w:tcMar>
            <w:vAlign w:val="top"/>
          </w:tcPr>
          <w:p>
            <w:pPr>
              <w:pStyle w:val="TableParagraph"/>
              <w:spacing w:before="79"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Toyota, Vaucresson, Février 2020 – Février 2023</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Développement de la chaîne de traitement de données, de l'ETL à la mise à disposition de datasets pour la BI.</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0" w:after="0"/>
              <w:ind w:left="145" w:right="0"/>
              <w:rPr>
                <w:b w:val="0"/>
                <w:bCs w:val="0"/>
                <w:i w:val="0"/>
                <w:iCs w:val="0"/>
                <w:smallCaps w:val="0"/>
                <w:color w:val="000000"/>
                <w:sz w:val="18"/>
                <w:szCs w:val="18"/>
              </w:rPr>
            </w:pPr>
            <w:r>
              <w:rPr>
                <w:b w:val="0"/>
                <w:bCs w:val="0"/>
                <w:i w:val="0"/>
                <w:iCs w:val="0"/>
                <w:smallCaps w:val="0"/>
                <w:color w:val="FFFFFF"/>
                <w:sz w:val="18"/>
                <w:szCs w:val="18"/>
              </w:rPr>
              <w:t xml:space="preserve">Développeur BI (Mission Courte)</w:t>
            </w:r>
          </w:p>
        </w:tc>
        <w:tc>
          <w:tcPr>
            <w:tcW w:w="4996" w:type="dxa"/>
            <w:shd w:val="clear" w:color="auto" w:fill="00AEE0"/>
            <w:noWrap w:val="0"/>
            <w:tcMar>
              <w:top w:w="5" w:type="dxa"/>
              <w:left w:w="5" w:type="dxa"/>
              <w:bottom w:w="5" w:type="dxa"/>
              <w:right w:w="5" w:type="dxa"/>
            </w:tcMar>
            <w:vAlign w:val="top"/>
          </w:tcPr>
          <w:p>
            <w:pPr>
              <w:pStyle w:val="TableParagraph"/>
              <w:spacing w:before="80"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Janvier 2020 – Février 2020</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Validation de la qualité des données lors d'une migration d'outils BI (QlikView vers MicroStrategy).</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Analyst</w:t>
            </w:r>
          </w:p>
        </w:tc>
        <w:tc>
          <w:tcPr>
            <w:tcW w:w="4996" w:type="dxa"/>
            <w:shd w:val="clear" w:color="auto" w:fill="00AEE0"/>
            <w:noWrap w:val="0"/>
            <w:tcMar>
              <w:top w:w="5" w:type="dxa"/>
              <w:left w:w="5" w:type="dxa"/>
              <w:bottom w:w="5" w:type="dxa"/>
              <w:right w:w="5" w:type="dxa"/>
            </w:tcMar>
            <w:vAlign w:val="top"/>
          </w:tcPr>
          <w:p>
            <w:pPr>
              <w:pStyle w:val="TableParagraph"/>
              <w:spacing w:before="81"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Lagardère Active, Levallois-Perret, </w:t>
            </w:r>
            <w:r>
              <w:rPr>
                <w:b w:val="0"/>
                <w:bCs w:val="0"/>
                <w:i w:val="0"/>
                <w:iCs w:val="0"/>
                <w:smallCaps w:val="0"/>
                <w:color w:val="FFFFFF"/>
                <w:sz w:val="18"/>
                <w:szCs w:val="18"/>
              </w:rPr>
              <w:t xml:space="preserve">Oct</w:t>
            </w:r>
            <w:r>
              <w:rPr>
                <w:b w:val="0"/>
                <w:bCs w:val="0"/>
                <w:i w:val="0"/>
                <w:iCs w:val="0"/>
                <w:smallCaps w:val="0"/>
                <w:color w:val="FFFFFF"/>
                <w:sz w:val="18"/>
                <w:szCs w:val="18"/>
              </w:rPr>
              <w:t xml:space="preserve"> 2017 – </w:t>
            </w:r>
            <w:r>
              <w:rPr>
                <w:b w:val="0"/>
                <w:bCs w:val="0"/>
                <w:i w:val="0"/>
                <w:iCs w:val="0"/>
                <w:smallCaps w:val="0"/>
                <w:color w:val="FFFFFF"/>
                <w:sz w:val="18"/>
                <w:szCs w:val="18"/>
              </w:rPr>
              <w:t xml:space="preserve">Janv</w:t>
            </w:r>
            <w:r>
              <w:rPr>
                <w:b w:val="0"/>
                <w:bCs w:val="0"/>
                <w:i w:val="0"/>
                <w:iCs w:val="0"/>
                <w:smallCaps w:val="0"/>
                <w:color w:val="FFFFFF"/>
                <w:sz w:val="18"/>
                <w:szCs w:val="18"/>
              </w:rPr>
              <w:t xml:space="preserve"> 2019</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252525"/>
                <w:sz w:val="18"/>
                <w:szCs w:val="18"/>
              </w:rPr>
              <w:t xml:space="preserve">Automatisation de la production de rapports via le développement de scripts de traitement de données.</w:t>
            </w:r>
          </w:p>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bl>
    <w:p>
      <w:pPr>
        <w:rPr>
          <w:sz w:val="6"/>
          <w:szCs w:val="6"/>
        </w:rPr>
        <w:sectPr>
          <w:type w:val="continuous"/>
          <w:pgSz w:w="11907" w:h="16839"/>
          <w:pgMar w:top="1440" w:right="1440" w:bottom="1440" w:left="1440" w:header="708" w:footer="708" w:gutter="0"/>
          <w:titlePg/>
        </w:sectPr>
      </w:pPr>
    </w:p>
    <w:p>
      <w:pPr>
        <w:pStyle w:val="p"/>
        <w:spacing w:before="80" w:after="0"/>
        <w:ind w:left="351" w:right="0"/>
        <w:rPr>
          <w:sz w:val="24"/>
          <w:szCs w:val="24"/>
        </w:rPr>
      </w:pPr>
      <w:r>
        <w:rPr>
          <w:sz w:val="24"/>
          <w:szCs w:val="24"/>
        </w:rPr>
        <w:br/>
      </w:r>
      <w:bookmarkStart w:id="1" w:name="Diapositive_2"/>
      <w:bookmarkEnd w:id="1"/>
      <w:r>
        <w:rPr>
          <w:color w:val="093653"/>
          <w:sz w:val="24"/>
          <w:szCs w:val="24"/>
        </w:rPr>
        <w:t xml:space="preserve">Formations</w:t>
      </w:r>
    </w:p>
    <w:p>
      <w:pPr>
        <w:pStyle w:val="BodyText0"/>
        <w:spacing w:before="0" w:after="0"/>
        <w:ind w:left="0" w:right="0"/>
        <w:rPr>
          <w:sz w:val="11"/>
          <w:szCs w:val="11"/>
        </w:rPr>
      </w:pPr>
      <w:r>
        <w:rPr>
          <w:sz w:val="11"/>
          <w:szCs w:val="11"/>
        </w:rPr>
        <w:t xml:space="preserve"> </w:t>
      </w:r>
    </w:p>
    <w:p>
      <w:pPr>
        <w:pStyle w:val="ListParagraph0"/>
        <w:spacing w:before="99"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Certification </w:t>
      </w:r>
      <w:r>
        <w:rPr>
          <w:color w:val="252525"/>
          <w:sz w:val="18"/>
          <w:szCs w:val="18"/>
        </w:rPr>
        <w:t xml:space="preserve">Power BI PL-300</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IELTS (8.0)</w:t>
      </w:r>
    </w:p>
    <w:p>
      <w:pPr>
        <w:pStyle w:val="ListParagraph0"/>
        <w:spacing w:before="0" w:after="0"/>
        <w:ind w:left="483" w:right="0"/>
        <w:rPr>
          <w:sz w:val="18"/>
          <w:szCs w:val="18"/>
        </w:rPr>
      </w:pPr>
      <w:r>
        <w:rPr>
          <w:sz w:val="18"/>
          <w:szCs w:val="18"/>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Formation Data Analyst / </w:t>
      </w:r>
      <w:r>
        <w:rPr>
          <w:color w:val="252525"/>
          <w:sz w:val="18"/>
          <w:szCs w:val="18"/>
        </w:rPr>
        <w:t xml:space="preserve">Ingénieur</w:t>
      </w:r>
      <w:r>
        <w:rPr>
          <w:color w:val="252525"/>
          <w:sz w:val="18"/>
          <w:szCs w:val="18"/>
        </w:rPr>
        <w:t xml:space="preserve"> BI NRJBI (oct 2019 – </w:t>
      </w:r>
      <w:r>
        <w:rPr>
          <w:color w:val="252525"/>
          <w:sz w:val="18"/>
          <w:szCs w:val="18"/>
        </w:rPr>
        <w:t xml:space="preserve">déc</w:t>
      </w:r>
      <w:r>
        <w:rPr>
          <w:color w:val="252525"/>
          <w:sz w:val="18"/>
          <w:szCs w:val="18"/>
        </w:rPr>
        <w:t xml:space="preserve"> 2019)</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w:t>
      </w:r>
      <w:bookmarkStart w:id="2" w:name="_Hlk207701629"/>
      <w:r>
        <w:rPr>
          <w:color w:val="252525"/>
          <w:sz w:val="18"/>
          <w:szCs w:val="18"/>
        </w:rPr>
        <w:t xml:space="preserve">iplôme</w:t>
      </w:r>
      <w:r>
        <w:rPr>
          <w:color w:val="252525"/>
          <w:sz w:val="18"/>
          <w:szCs w:val="18"/>
        </w:rPr>
        <w:t xml:space="preserve"> </w:t>
      </w:r>
      <w:r>
        <w:rPr>
          <w:color w:val="252525"/>
          <w:sz w:val="18"/>
          <w:szCs w:val="18"/>
        </w:rPr>
        <w:t xml:space="preserve">Ingénieur</w:t>
      </w:r>
      <w:r>
        <w:rPr>
          <w:color w:val="252525"/>
          <w:sz w:val="18"/>
          <w:szCs w:val="18"/>
        </w:rPr>
        <w:t xml:space="preserve"> </w:t>
      </w:r>
      <w:r>
        <w:rPr>
          <w:color w:val="252525"/>
          <w:sz w:val="18"/>
          <w:szCs w:val="18"/>
        </w:rPr>
        <w:t xml:space="preserve">ECE Paris (2014-2017)</w:t>
      </w:r>
      <w:bookmarkEnd w:id="2"/>
    </w:p>
    <w:p>
      <w:pPr>
        <w:pStyle w:val="BodyText0"/>
        <w:spacing w:before="0" w:after="0"/>
        <w:ind w:left="0" w:right="0"/>
        <w:rPr>
          <w:sz w:val="20"/>
          <w:szCs w:val="20"/>
        </w:rPr>
      </w:pPr>
      <w:r>
        <w:rPr>
          <w:sz w:val="20"/>
          <w:szCs w:val="20"/>
        </w:rPr>
        <w:t xml:space="preserve"> </w:t>
      </w:r>
    </w:p>
    <w:p>
      <w:pPr>
        <w:pStyle w:val="BodyText0"/>
        <w:spacing w:before="0" w:after="0"/>
        <w:ind w:left="0" w:right="0"/>
        <w:rPr>
          <w:sz w:val="20"/>
          <w:szCs w:val="20"/>
        </w:rPr>
      </w:pPr>
      <w:r>
        <w:rPr>
          <w:sz w:val="20"/>
          <w:szCs w:val="20"/>
        </w:rPr>
        <w:t xml:space="preserve"> </w:t>
      </w:r>
    </w:p>
    <w:p>
      <w:pPr>
        <w:pStyle w:val="Heading1"/>
        <w:keepNext w:val="0"/>
        <w:keepLines w:val="0"/>
        <w:spacing w:before="242"/>
        <w:ind w:left="351" w:right="0"/>
        <w:rPr>
          <w:b w:val="0"/>
          <w:bCs w:val="0"/>
          <w:sz w:val="24"/>
          <w:szCs w:val="24"/>
        </w:rPr>
      </w:pPr>
      <w:r>
        <w:rPr>
          <w:i w:val="0"/>
          <w:color w:val="093653"/>
        </w:rPr>
        <w:t xml:space="preserve">Détail</w:t>
      </w:r>
      <w:r>
        <w:rPr>
          <w:i w:val="0"/>
          <w:color w:val="093653"/>
        </w:rPr>
        <w:t xml:space="preserve"> des missions</w:t>
      </w:r>
    </w:p>
    <w:p>
      <w:pPr>
        <w:pStyle w:val="BodyText0"/>
        <w:spacing w:before="3" w:after="0"/>
        <w:ind w:left="0" w:right="0"/>
        <w:rPr>
          <w:sz w:val="7"/>
          <w:szCs w:val="7"/>
        </w:rPr>
      </w:pPr>
      <w:r>
        <w:rPr>
          <w:sz w:val="7"/>
          <w:szCs w:val="7"/>
        </w:rPr>
        <w:t xml:space="preserve"> </w:t>
      </w:r>
    </w:p>
    <w:tbl>
      <w:tblPr>
        <w:tblStyle w:val="NormalTable"/>
        <w:tblInd w:w="114" w:type="dxa"/>
        <w:tblCellMar>
          <w:top w:w="0" w:type="dxa"/>
          <w:left w:w="0" w:type="dxa"/>
          <w:bottom w:w="0" w:type="dxa"/>
          <w:right w:w="0" w:type="dxa"/>
        </w:tblCellMar>
        <w:tblLook w:val="05E0"/>
      </w:tblPr>
      <w:tblGrid>
        <w:gridCol w:w="1097"/>
        <w:gridCol w:w="2819"/>
        <w:gridCol w:w="1361"/>
        <w:gridCol w:w="3638"/>
      </w:tblGrid>
      <w:tr>
        <w:tblPrEx>
          <w:tblInd w:w="114" w:type="dxa"/>
          <w:tblCellMar>
            <w:top w:w="0" w:type="dxa"/>
            <w:left w:w="0" w:type="dxa"/>
            <w:bottom w:w="0" w:type="dxa"/>
            <w:right w:w="0" w:type="dxa"/>
          </w:tblCellMar>
          <w:tblLook w:val="05E0"/>
        </w:tblPrEx>
        <w:trPr>
          <w:trHeight w:val="799"/>
        </w:trPr>
        <w:tc>
          <w:tcPr>
            <w:tcW w:w="9085" w:type="dxa"/>
            <w:gridSpan w:val="4"/>
            <w:tcBorders>
              <w:top w:val="single" w:sz="12" w:space="0" w:color="252525"/>
            </w:tcBorders>
            <w:noWrap w:val="0"/>
            <w:tcMar>
              <w:top w:w="15" w:type="dxa"/>
              <w:left w:w="5" w:type="dxa"/>
              <w:bottom w:w="5" w:type="dxa"/>
              <w:right w:w="5" w:type="dxa"/>
            </w:tcMar>
            <w:vAlign w:val="top"/>
          </w:tcPr>
          <w:p>
            <w:pPr>
              <w:pStyle w:val="TableParagraph"/>
              <w:spacing w:before="6" w:after="0"/>
              <w:ind w:left="0" w:right="0"/>
              <w:rPr>
                <w:b w:val="0"/>
                <w:bCs w:val="0"/>
                <w:i w:val="0"/>
                <w:iCs w:val="0"/>
                <w:smallCaps w:val="0"/>
                <w:color w:val="000000"/>
                <w:sz w:val="30"/>
                <w:szCs w:val="30"/>
              </w:rPr>
            </w:pPr>
            <w:r>
              <w:rPr>
                <w:b w:val="0"/>
                <w:bCs w:val="0"/>
                <w:i w:val="0"/>
                <w:iCs w:val="0"/>
                <w:smallCaps w:val="0"/>
                <w:color w:val="000000"/>
                <w:sz w:val="30"/>
                <w:szCs w:val="30"/>
              </w:rPr>
              <w:t xml:space="preserve"> </w:t>
            </w:r>
          </w:p>
          <w:p>
            <w:pPr>
              <w:pStyle w:val="TableParagraph"/>
              <w:spacing w:before="0" w:after="0"/>
              <w:ind w:left="143" w:right="0"/>
              <w:rPr>
                <w:b w:val="0"/>
                <w:bCs w:val="0"/>
                <w:i w:val="0"/>
                <w:iCs w:val="0"/>
                <w:smallCaps w:val="0"/>
                <w:color w:val="000000"/>
                <w:sz w:val="28"/>
                <w:szCs w:val="28"/>
              </w:rPr>
            </w:pPr>
            <w:r>
              <w:rPr>
                <w:b w:val="0"/>
                <w:bCs w:val="0"/>
                <w:i w:val="0"/>
                <w:iCs w:val="0"/>
                <w:smallCaps w:val="0"/>
                <w:color w:val="00AEE0"/>
                <w:sz w:val="28"/>
                <w:szCs w:val="28"/>
              </w:rPr>
              <w:t xml:space="preserve">SAINT-GOBAIN</w:t>
            </w:r>
          </w:p>
        </w:tc>
      </w:tr>
      <w:tr>
        <w:tblPrEx>
          <w:tblCellMar>
            <w:top w:w="0" w:type="dxa"/>
            <w:left w:w="0" w:type="dxa"/>
            <w:bottom w:w="0" w:type="dxa"/>
            <w:right w:w="0" w:type="dxa"/>
          </w:tblCellMar>
          <w:tblLook w:val="05E0"/>
        </w:tblPrEx>
        <w:trPr>
          <w:trHeight w:val="360"/>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Data Engineer</w:t>
            </w:r>
          </w:p>
        </w:tc>
      </w:tr>
      <w:tr>
        <w:tblPrEx>
          <w:tblCellMar>
            <w:top w:w="0" w:type="dxa"/>
            <w:left w:w="0" w:type="dxa"/>
            <w:bottom w:w="0" w:type="dxa"/>
            <w:right w:w="0" w:type="dxa"/>
          </w:tblCellMar>
          <w:tblLook w:val="05E0"/>
        </w:tblPrEx>
        <w:trPr>
          <w:trHeight w:val="359"/>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5"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Mars 2023 – </w:t>
            </w:r>
            <w:r>
              <w:rPr>
                <w:b w:val="0"/>
                <w:bCs w:val="0"/>
                <w:i w:val="0"/>
                <w:iCs w:val="0"/>
                <w:smallCaps w:val="0"/>
                <w:color w:val="252525"/>
                <w:sz w:val="18"/>
                <w:szCs w:val="18"/>
              </w:rPr>
              <w:t xml:space="preserve">Août</w:t>
            </w:r>
            <w:r>
              <w:rPr>
                <w:b w:val="0"/>
                <w:bCs w:val="0"/>
                <w:i w:val="0"/>
                <w:iCs w:val="0"/>
                <w:smallCaps w:val="0"/>
                <w:color w:val="252525"/>
                <w:sz w:val="18"/>
                <w:szCs w:val="18"/>
              </w:rPr>
              <w:t xml:space="preserve"> 2025</w:t>
            </w:r>
          </w:p>
        </w:tc>
        <w:tc>
          <w:tcPr>
            <w:tcW w:w="1362" w:type="dxa"/>
            <w:shd w:val="clear" w:color="auto" w:fill="F5F5F5"/>
            <w:noWrap w:val="0"/>
            <w:tcMar>
              <w:top w:w="5" w:type="dxa"/>
              <w:left w:w="5" w:type="dxa"/>
              <w:bottom w:w="5" w:type="dxa"/>
              <w:right w:w="5" w:type="dxa"/>
            </w:tcMar>
            <w:vAlign w:val="top"/>
          </w:tcPr>
          <w:p>
            <w:pPr>
              <w:pStyle w:val="TableParagraph"/>
              <w:spacing w:before="73" w:after="0"/>
              <w:ind w:left="702"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2" w:type="dxa"/>
            <w:shd w:val="clear" w:color="auto" w:fill="F5F5F5"/>
            <w:noWrap w:val="0"/>
            <w:tcMar>
              <w:top w:w="5" w:type="dxa"/>
              <w:left w:w="5" w:type="dxa"/>
              <w:bottom w:w="5" w:type="dxa"/>
              <w:right w:w="5" w:type="dxa"/>
            </w:tcMar>
            <w:vAlign w:val="top"/>
          </w:tcPr>
          <w:p>
            <w:pPr>
              <w:pStyle w:val="TableParagraph"/>
              <w:spacing w:before="73" w:after="0"/>
              <w:ind w:left="228" w:right="0"/>
              <w:rPr>
                <w:b w:val="0"/>
                <w:bCs w:val="0"/>
                <w:i w:val="0"/>
                <w:iCs w:val="0"/>
                <w:smallCaps w:val="0"/>
                <w:color w:val="000000"/>
                <w:sz w:val="18"/>
                <w:szCs w:val="18"/>
              </w:rPr>
            </w:pPr>
            <w:r>
              <w:rPr>
                <w:b w:val="0"/>
                <w:bCs w:val="0"/>
                <w:i w:val="0"/>
                <w:iCs w:val="0"/>
                <w:smallCaps w:val="0"/>
                <w:color w:val="252525"/>
                <w:sz w:val="18"/>
                <w:szCs w:val="18"/>
              </w:rPr>
              <w:t xml:space="preserve">La Défense</w:t>
            </w:r>
          </w:p>
        </w:tc>
      </w:tr>
    </w:tbl>
    <w:p>
      <w:pPr>
        <w:pStyle w:val="BodyText0"/>
        <w:spacing w:before="4" w:after="0"/>
        <w:ind w:left="0" w:right="0"/>
        <w:rPr>
          <w:sz w:val="25"/>
          <w:szCs w:val="25"/>
        </w:rPr>
      </w:pPr>
      <w:r>
        <w:rPr>
          <w:sz w:val="25"/>
          <w:szCs w:val="25"/>
        </w:rPr>
        <w:t xml:space="preserve"> </w:t>
      </w:r>
    </w:p>
    <w:p>
      <w:pPr>
        <w:pStyle w:val="Heading2"/>
        <w:keepNext w:val="0"/>
        <w:keepLines w:val="0"/>
        <w:spacing w:before="1" w:line="252" w:lineRule="auto"/>
        <w:ind w:left="212" w:right="666"/>
        <w:rPr>
          <w:b/>
          <w:bCs/>
          <w:sz w:val="18"/>
          <w:szCs w:val="18"/>
        </w:rPr>
      </w:pPr>
      <w:r>
        <w:rPr>
          <w:i w:val="0"/>
          <w:color w:val="252525"/>
        </w:rPr>
        <w:t xml:space="preserve">Pilotage de la migration de l'architecture data on-premise (SQL Server, SSIS) vers une plateforme cloud (Azure Synapse), incluant la refonte des pipelines, l'optimisation des performances et la mise en place de standards de développement pour une équipe de 5 ingénieurs.</w:t>
      </w:r>
    </w:p>
    <w:p>
      <w:pPr>
        <w:pStyle w:val="ListParagraph0"/>
        <w:spacing w:before="0" w:after="0" w:line="252" w:lineRule="auto"/>
        <w:ind w:left="483" w:right="1087" w:firstLine="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Conception de l'architecture des nouveaux pipelines de données sur Azure Synapse, en optimisant les logiques ETL et les procédures stockées SQL existantes pour garantir performance et maintenabilité.</w:t>
      </w:r>
    </w:p>
    <w:p>
      <w:pPr>
        <w:pStyle w:val="ListParagraph0"/>
        <w:spacing w:before="0" w:after="0" w:line="252" w:lineRule="auto"/>
        <w:ind w:left="483" w:right="1087" w:firstLine="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Développement et maintenance de pipelines robustes pour l'ingestion de sources variées (API, BDD, fichiers plats), la transformation (SQL, R) et la mise à disposition de datasets optimisés pour les usages BI.</w:t>
      </w:r>
    </w:p>
    <w:p>
      <w:pPr>
        <w:pStyle w:val="ListParagraph0"/>
        <w:spacing w:before="0" w:after="0"/>
        <w:ind w:left="483" w:right="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Modélisation des données et création des schémas, tables et vues dans l'entrepôt de données pour répondre aux besoins analytiques et garantir la cohérence des modèles.</w:t>
      </w:r>
    </w:p>
    <w:p>
      <w:pPr>
        <w:pStyle w:val="BodyText0"/>
        <w:spacing w:before="0" w:after="0"/>
        <w:ind w:left="0" w:right="0"/>
        <w:rPr>
          <w:sz w:val="19"/>
          <w:szCs w:val="19"/>
        </w:rPr>
      </w:pPr>
      <w:r>
        <w:rPr>
          <w:sz w:val="19"/>
          <w:szCs w:val="19"/>
        </w:rPr>
        <w:t xml:space="preserve"> </w:t>
      </w:r>
    </w:p>
    <w:p>
      <w:pPr>
        <w:pStyle w:val="ListParagraph0"/>
        <w:spacing w:before="2" w:after="0" w:line="250" w:lineRule="auto"/>
        <w:ind w:left="483" w:right="862"/>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Gestion du code source avec Git (via Azure DevOps) et mise en place des processus de déploiement sur les environnements d'intégration et de production.</w:t>
      </w:r>
    </w:p>
    <w:p>
      <w:pPr>
        <w:pStyle w:val="ListParagraph0"/>
        <w:spacing w:before="2" w:after="0" w:line="250" w:lineRule="auto"/>
        <w:ind w:left="483" w:right="862" w:firstLine="0"/>
        <w:rPr>
          <w:sz w:val="19"/>
          <w:szCs w:val="19"/>
        </w:rPr>
      </w:pPr>
      <w:r>
        <w:rPr>
          <w:sz w:val="19"/>
          <w:szCs w:val="19"/>
        </w:rPr>
        <w:t xml:space="preserve"> </w:t>
      </w:r>
    </w:p>
    <w:p>
      <w:pPr>
        <w:pStyle w:val="ListParagraph0"/>
        <w:spacing w:before="1"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Rédaction et maintenance de la documentation technique des flux de données, des modèles et des procédures de support sur Confluence.</w:t>
      </w:r>
    </w:p>
    <w:p>
      <w:pPr>
        <w:pStyle w:val="ListParagraph0"/>
        <w:spacing w:before="1" w:after="0" w:line="250" w:lineRule="auto"/>
        <w:ind w:left="483" w:right="891" w:firstLine="0"/>
        <w:rPr>
          <w:sz w:val="19"/>
          <w:szCs w:val="19"/>
        </w:rPr>
      </w:pPr>
      <w:r>
        <w:rPr>
          <w:sz w:val="19"/>
          <w:szCs w:val="19"/>
        </w:rPr>
        <w:t xml:space="preserve"> </w:t>
      </w:r>
    </w:p>
    <w:p>
      <w:pPr>
        <w:pStyle w:val="ListParagraph0"/>
        <w:spacing w:before="9" w:after="0" w:line="242" w:lineRule="auto"/>
        <w:ind w:left="483" w:right="1320"/>
        <w:jc w:val="both"/>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Contribution à la feuille de route technique et promotion des bonnes pratiques en tant que référent, incluant la revue de code et le partage de connaissances pour faire monter l'équipe en compétence.</w:t>
      </w:r>
    </w:p>
    <w:p>
      <w:pPr>
        <w:pStyle w:val="ListParagraph0"/>
        <w:spacing w:before="9" w:after="0" w:line="242" w:lineRule="auto"/>
        <w:ind w:left="483" w:right="1320" w:firstLine="0"/>
        <w:jc w:val="both"/>
        <w:rPr>
          <w:sz w:val="19"/>
          <w:szCs w:val="19"/>
        </w:rPr>
      </w:pPr>
      <w:r>
        <w:rPr>
          <w:sz w:val="19"/>
          <w:szCs w:val="19"/>
        </w:rPr>
        <w:t xml:space="preserve"> </w:t>
      </w:r>
    </w:p>
    <w:p>
      <w:pPr>
        <w:pStyle w:val="ListParagraph0"/>
        <w:spacing w:before="1" w:after="0" w:line="252" w:lineRule="auto"/>
        <w:ind w:left="483" w:right="929"/>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Diagnostic, analyse et résolution des incidents de production liés aux flux de données pour garantir la fiabilité des pipelines (monitoring du taux de succès des jobs) et la qualité des données.</w:t>
      </w:r>
    </w:p>
    <w:p>
      <w:pPr>
        <w:pStyle w:val="BodyText0"/>
        <w:spacing w:before="9" w:after="0"/>
        <w:ind w:left="0" w:right="0"/>
        <w:rPr>
          <w:sz w:val="19"/>
          <w:szCs w:val="19"/>
        </w:rPr>
      </w:pPr>
      <w:r>
        <w:rPr>
          <w:sz w:val="19"/>
          <w:szCs w:val="19"/>
        </w:rPr>
        <w:t xml:space="preserve"> </w:t>
      </w:r>
    </w:p>
    <w:p>
      <w:pPr>
        <w:pStyle w:val="Heading2"/>
        <w:keepNext w:val="0"/>
        <w:keepLines w:val="0"/>
        <w:spacing w:before="1"/>
        <w:ind w:left="212" w:right="0"/>
        <w:rPr>
          <w:b/>
          <w:bCs/>
          <w:sz w:val="18"/>
          <w:szCs w:val="18"/>
        </w:rPr>
        <w:sectPr>
          <w:type w:val="nextPage"/>
          <w:pgSz w:w="11907" w:h="16839"/>
          <w:pgMar w:top="1440" w:right="1440" w:bottom="1440" w:left="1440" w:header="708" w:footer="708" w:gutter="0"/>
          <w:titlePg/>
        </w:sectPr>
      </w:pPr>
      <w:r>
        <w:rPr>
          <w:i w:val="0"/>
          <w:color w:val="252525"/>
        </w:rPr>
        <w:t xml:space="preserve">Environnement :</w:t>
      </w:r>
      <w:r>
        <w:rPr>
          <w:i w:val="0"/>
          <w:color w:val="252525"/>
        </w:rPr>
        <w:t xml:space="preserve"> </w:t>
      </w:r>
      <w:r>
        <w:rPr>
          <w:i w:val="0"/>
          <w:color w:val="252525"/>
        </w:rPr>
        <w:t xml:space="preserve">SQL Server, SSIS, Synapse, Azure Datawarehouse, Azure DevOps, Confluence, Jira</w:t>
      </w:r>
    </w:p>
    <w:tbl>
      <w:tblPr>
        <w:tblStyle w:val="NormalTable"/>
        <w:tblInd w:w="113" w:type="dxa"/>
        <w:tblCellMar>
          <w:top w:w="0" w:type="dxa"/>
          <w:left w:w="0" w:type="dxa"/>
          <w:bottom w:w="0" w:type="dxa"/>
          <w:right w:w="0" w:type="dxa"/>
        </w:tblCellMar>
        <w:tblLook w:val="05E0"/>
      </w:tblPr>
      <w:tblGrid>
        <w:gridCol w:w="1098"/>
        <w:gridCol w:w="2822"/>
        <w:gridCol w:w="1357"/>
        <w:gridCol w:w="3640"/>
      </w:tblGrid>
      <w:tr>
        <w:tblPrEx>
          <w:tblInd w:w="113" w:type="dxa"/>
          <w:tblCellMar>
            <w:top w:w="0" w:type="dxa"/>
            <w:left w:w="0" w:type="dxa"/>
            <w:bottom w:w="0" w:type="dxa"/>
            <w:right w:w="0" w:type="dxa"/>
          </w:tblCellMar>
          <w:tblLook w:val="05E0"/>
        </w:tblPrEx>
        <w:trPr>
          <w:trHeight w:val="453"/>
        </w:trPr>
        <w:tc>
          <w:tcPr>
            <w:tcW w:w="9086" w:type="dxa"/>
            <w:gridSpan w:val="4"/>
            <w:noWrap w:val="0"/>
            <w:tcMar>
              <w:top w:w="5" w:type="dxa"/>
              <w:left w:w="5" w:type="dxa"/>
              <w:bottom w:w="5" w:type="dxa"/>
              <w:right w:w="5" w:type="dxa"/>
            </w:tcMar>
            <w:vAlign w:val="top"/>
          </w:tcPr>
          <w:p>
            <w:pPr>
              <w:pStyle w:val="TableParagraph"/>
              <w:spacing w:before="1" w:after="0"/>
              <w:ind w:left="145" w:right="0"/>
              <w:rPr>
                <w:b w:val="0"/>
                <w:bCs w:val="0"/>
                <w:i w:val="0"/>
                <w:iCs w:val="0"/>
                <w:smallCaps w:val="0"/>
                <w:color w:val="000000"/>
                <w:sz w:val="28"/>
                <w:szCs w:val="28"/>
              </w:rPr>
            </w:pPr>
            <w:bookmarkStart w:id="3" w:name="Diapositive_3"/>
            <w:bookmarkEnd w:id="3"/>
            <w:r>
              <w:rPr>
                <w:b w:val="0"/>
                <w:bCs w:val="0"/>
                <w:i w:val="0"/>
                <w:iCs w:val="0"/>
                <w:smallCaps w:val="0"/>
                <w:color w:val="00AEE0"/>
                <w:sz w:val="28"/>
                <w:szCs w:val="28"/>
              </w:rPr>
              <w:t xml:space="preserve"> </w:t>
            </w:r>
          </w:p>
          <w:p>
            <w:pPr>
              <w:pStyle w:val="TableParagraph"/>
              <w:spacing w:before="1" w:after="0"/>
              <w:ind w:left="145" w:right="0"/>
              <w:rPr>
                <w:b w:val="0"/>
                <w:bCs w:val="0"/>
                <w:i w:val="0"/>
                <w:iCs w:val="0"/>
                <w:smallCaps w:val="0"/>
                <w:color w:val="000000"/>
                <w:sz w:val="28"/>
                <w:szCs w:val="28"/>
              </w:rPr>
            </w:pPr>
            <w:r>
              <w:rPr>
                <w:b w:val="0"/>
                <w:bCs w:val="0"/>
                <w:i w:val="0"/>
                <w:iCs w:val="0"/>
                <w:smallCaps w:val="0"/>
                <w:color w:val="00AEE0"/>
                <w:sz w:val="28"/>
                <w:szCs w:val="28"/>
              </w:rPr>
              <w:t xml:space="preserve"> </w:t>
            </w:r>
          </w:p>
          <w:p>
            <w:pPr>
              <w:pStyle w:val="TableParagraph"/>
              <w:spacing w:before="1" w:after="0"/>
              <w:ind w:left="145" w:right="0"/>
              <w:rPr>
                <w:b w:val="0"/>
                <w:bCs w:val="0"/>
                <w:i w:val="0"/>
                <w:iCs w:val="0"/>
                <w:smallCaps w:val="0"/>
                <w:color w:val="000000"/>
                <w:sz w:val="28"/>
                <w:szCs w:val="28"/>
              </w:rPr>
            </w:pPr>
            <w:r>
              <w:rPr>
                <w:b w:val="0"/>
                <w:bCs w:val="0"/>
                <w:i w:val="0"/>
                <w:iCs w:val="0"/>
                <w:smallCaps w:val="0"/>
                <w:color w:val="00AEE0"/>
                <w:sz w:val="28"/>
                <w:szCs w:val="28"/>
              </w:rPr>
              <w:t xml:space="preserve"> </w:t>
            </w:r>
          </w:p>
          <w:p>
            <w:pPr>
              <w:pStyle w:val="TableParagraph"/>
              <w:spacing w:before="1" w:after="240"/>
              <w:ind w:left="145" w:right="0"/>
              <w:rPr>
                <w:b w:val="0"/>
                <w:bCs w:val="0"/>
                <w:i w:val="0"/>
                <w:iCs w:val="0"/>
                <w:smallCaps w:val="0"/>
                <w:color w:val="000000"/>
                <w:sz w:val="28"/>
                <w:szCs w:val="28"/>
              </w:rPr>
            </w:pPr>
            <w:r>
              <w:rPr>
                <w:b w:val="0"/>
                <w:bCs w:val="0"/>
                <w:i w:val="0"/>
                <w:iCs w:val="0"/>
                <w:smallCaps w:val="0"/>
                <w:color w:val="00AEE0"/>
                <w:sz w:val="28"/>
                <w:szCs w:val="28"/>
              </w:rPr>
              <w:t xml:space="preserve">TOYOTA</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69"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8" w:type="dxa"/>
            <w:gridSpan w:val="3"/>
            <w:shd w:val="clear" w:color="auto" w:fill="F5F5F5"/>
            <w:noWrap w:val="0"/>
            <w:tcMar>
              <w:top w:w="5" w:type="dxa"/>
              <w:left w:w="5" w:type="dxa"/>
              <w:bottom w:w="5" w:type="dxa"/>
              <w:right w:w="5" w:type="dxa"/>
            </w:tcMar>
            <w:vAlign w:val="top"/>
          </w:tcPr>
          <w:p>
            <w:pPr>
              <w:pStyle w:val="TableParagraph"/>
              <w:spacing w:before="69" w:after="0"/>
              <w:ind w:left="160" w:right="0"/>
              <w:rPr>
                <w:b w:val="0"/>
                <w:bCs w:val="0"/>
                <w:i w:val="0"/>
                <w:iCs w:val="0"/>
                <w:smallCaps w:val="0"/>
                <w:color w:val="000000"/>
                <w:sz w:val="18"/>
                <w:szCs w:val="18"/>
              </w:rPr>
            </w:pPr>
            <w:r>
              <w:rPr>
                <w:b w:val="0"/>
                <w:bCs w:val="0"/>
                <w:i w:val="0"/>
                <w:iCs w:val="0"/>
                <w:smallCaps w:val="0"/>
                <w:color w:val="252525"/>
                <w:sz w:val="18"/>
                <w:szCs w:val="18"/>
              </w:rPr>
              <w:t xml:space="preserve">Développeur BI &amp; Data</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Février 2020 – Février 2023</w:t>
            </w:r>
          </w:p>
        </w:tc>
        <w:tc>
          <w:tcPr>
            <w:tcW w:w="1359"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1" w:type="dxa"/>
            <w:shd w:val="clear" w:color="auto" w:fill="F5F5F5"/>
            <w:noWrap w:val="0"/>
            <w:tcMar>
              <w:top w:w="5" w:type="dxa"/>
              <w:left w:w="5" w:type="dxa"/>
              <w:bottom w:w="5" w:type="dxa"/>
              <w:right w:w="5" w:type="dxa"/>
            </w:tcMar>
            <w:vAlign w:val="top"/>
          </w:tcPr>
          <w:p>
            <w:pPr>
              <w:pStyle w:val="TableParagraph"/>
              <w:spacing w:before="73" w:after="0"/>
              <w:ind w:left="227" w:right="0"/>
              <w:rPr>
                <w:b w:val="0"/>
                <w:bCs w:val="0"/>
                <w:i w:val="0"/>
                <w:iCs w:val="0"/>
                <w:smallCaps w:val="0"/>
                <w:color w:val="000000"/>
                <w:sz w:val="18"/>
                <w:szCs w:val="18"/>
              </w:rPr>
            </w:pPr>
            <w:r>
              <w:rPr>
                <w:b w:val="0"/>
                <w:bCs w:val="0"/>
                <w:i w:val="0"/>
                <w:iCs w:val="0"/>
                <w:smallCaps w:val="0"/>
                <w:color w:val="252525"/>
                <w:sz w:val="18"/>
                <w:szCs w:val="18"/>
              </w:rPr>
              <w:t xml:space="preserve">Vaucresson</w:t>
            </w:r>
          </w:p>
        </w:tc>
      </w:tr>
    </w:tbl>
    <w:p>
      <w:pPr>
        <w:pStyle w:val="BodyText0"/>
        <w:spacing w:before="0" w:after="0"/>
        <w:ind w:left="0" w:right="0"/>
        <w:rPr>
          <w:sz w:val="17"/>
          <w:szCs w:val="17"/>
        </w:rPr>
      </w:pPr>
      <w:r>
        <w:rPr>
          <w:b/>
          <w:bCs/>
          <w:sz w:val="17"/>
          <w:szCs w:val="17"/>
        </w:rPr>
        <w:t xml:space="preserve"> </w:t>
      </w:r>
    </w:p>
    <w:p>
      <w:pPr>
        <w:pStyle w:val="p"/>
        <w:spacing w:before="98" w:after="0" w:line="252" w:lineRule="auto"/>
        <w:ind w:left="212" w:right="666"/>
        <w:rPr>
          <w:sz w:val="18"/>
          <w:szCs w:val="18"/>
        </w:rPr>
      </w:pPr>
      <w:r>
        <w:rPr>
          <w:b/>
          <w:bCs/>
          <w:color w:val="252525"/>
          <w:sz w:val="18"/>
          <w:szCs w:val="18"/>
        </w:rPr>
        <w:t xml:space="preserve">Développement de l'écosystème décisionnel de bout en bout : de la modélisation des données et la création des flux ETL jusqu'à la mise à disposition de datasets fiables et performants pour les équipes métier.</w:t>
      </w:r>
    </w:p>
    <w:p>
      <w:pPr>
        <w:pStyle w:val="BodyText0"/>
        <w:spacing w:before="0" w:after="0"/>
        <w:ind w:left="0" w:right="0"/>
        <w:rPr>
          <w:sz w:val="19"/>
          <w:szCs w:val="19"/>
        </w:rPr>
      </w:pPr>
      <w:r>
        <w:rPr>
          <w:b/>
          <w:bCs/>
          <w:sz w:val="19"/>
          <w:szCs w:val="19"/>
        </w:rPr>
        <w:t xml:space="preserve"> </w:t>
      </w:r>
    </w:p>
    <w:p>
      <w:pPr>
        <w:pStyle w:val="ListParagraph0"/>
        <w:spacing w:before="0" w:after="0" w:line="252" w:lineRule="auto"/>
        <w:ind w:left="483" w:right="1080"/>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Définition et implémentation des standards de nommage et de documentation pour les objets de la BDD (+1000 tables) et les flux ETL (+200 packages), garantissant la cohérence et la maintenabilité de la plateforme.</w:t>
      </w:r>
    </w:p>
    <w:p>
      <w:pPr>
        <w:pStyle w:val="p"/>
        <w:spacing w:before="0" w:after="0" w:line="252" w:lineRule="auto"/>
        <w:ind w:left="0" w:right="1080"/>
        <w:rPr>
          <w:sz w:val="18"/>
          <w:szCs w:val="18"/>
        </w:rPr>
      </w:pPr>
      <w:r>
        <w:rPr>
          <w:color w:val="252525"/>
          <w:sz w:val="18"/>
          <w:szCs w:val="18"/>
        </w:rPr>
        <w:t xml:space="preserve"> </w:t>
      </w:r>
    </w:p>
    <w:p>
      <w:pPr>
        <w:pStyle w:val="ListParagraph0"/>
        <w:spacing w:before="0" w:after="0" w:line="252" w:lineRule="auto"/>
        <w:ind w:left="483" w:right="1080"/>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Modélisation des données (STG, ODS, DWH) et développement des pipelines d'alimentation (ETL) avec SSIS pour intégrer de nouvelles sources et enrichir l'entrepôt de données.</w:t>
      </w:r>
    </w:p>
    <w:p>
      <w:pPr>
        <w:pStyle w:val="ListParagraph0"/>
        <w:spacing w:before="2" w:after="0" w:line="250" w:lineRule="auto"/>
        <w:ind w:left="483" w:right="862" w:firstLine="0"/>
        <w:rPr>
          <w:sz w:val="19"/>
          <w:szCs w:val="19"/>
        </w:rPr>
      </w:pPr>
      <w:r>
        <w:rPr>
          <w:sz w:val="19"/>
          <w:szCs w:val="19"/>
        </w:rPr>
        <w:t xml:space="preserve"> </w:t>
      </w:r>
    </w:p>
    <w:p>
      <w:pPr>
        <w:pStyle w:val="ListParagraph0"/>
        <w:spacing w:before="0"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Développement de scripts SQL complexes et de procédures stockées pour la transformation et l'agrégation des données, assurant la performance des requêtes et la fraîcheur des informations.</w:t>
      </w:r>
    </w:p>
    <w:p>
      <w:pPr>
        <w:pStyle w:val="ListParagraph0"/>
        <w:spacing w:before="0" w:after="0"/>
        <w:ind w:left="483" w:right="0"/>
        <w:rPr>
          <w:sz w:val="18"/>
          <w:szCs w:val="18"/>
        </w:rPr>
      </w:pPr>
      <w:r>
        <w:rPr>
          <w:sz w:val="18"/>
          <w:szCs w:val="18"/>
        </w:rPr>
        <w:t xml:space="preserve"> </w:t>
      </w:r>
    </w:p>
    <w:p>
      <w:pPr>
        <w:pStyle w:val="ListParagraph0"/>
        <w:spacing w:before="0"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Résolution des incidents de production sur l'ensemble de la chaîne de données (SQL, SSIS, SSAS) pour assurer la disponibilité et la qualité des datasets.</w:t>
      </w:r>
    </w:p>
    <w:p>
      <w:pPr>
        <w:pStyle w:val="BodyText0"/>
        <w:spacing w:before="5" w:after="0"/>
        <w:ind w:left="0" w:right="0"/>
        <w:rPr>
          <w:sz w:val="17"/>
          <w:szCs w:val="17"/>
        </w:rPr>
      </w:pPr>
      <w:r>
        <w:rPr>
          <w:sz w:val="17"/>
          <w:szCs w:val="17"/>
        </w:rPr>
        <w:t xml:space="preserve"> </w:t>
      </w:r>
    </w:p>
    <w:p>
      <w:pPr>
        <w:pStyle w:val="Heading2"/>
        <w:keepNext w:val="0"/>
        <w:keepLines w:val="0"/>
        <w:spacing w:before="0"/>
        <w:ind w:left="212" w:right="0"/>
        <w:rPr>
          <w:b/>
          <w:bCs/>
          <w:sz w:val="18"/>
          <w:szCs w:val="18"/>
        </w:rPr>
      </w:pPr>
      <w:r>
        <w:rPr>
          <w:i w:val="0"/>
          <w:color w:val="252525"/>
        </w:rPr>
        <w:t xml:space="preserve">Environnement :</w:t>
      </w:r>
      <w:r>
        <w:rPr>
          <w:i w:val="0"/>
          <w:color w:val="252525"/>
        </w:rPr>
        <w:t xml:space="preserve"> </w:t>
      </w:r>
      <w:r>
        <w:rPr>
          <w:i w:val="0"/>
          <w:color w:val="252525"/>
        </w:rPr>
        <w:t xml:space="preserve">SQL Server, SSIS, SSAS, Power BI, ServiceNow</w:t>
      </w:r>
    </w:p>
    <w:p>
      <w:pPr>
        <w:pStyle w:val="BodyText0"/>
        <w:spacing w:before="0" w:after="0"/>
        <w:ind w:left="0" w:right="0"/>
        <w:rPr>
          <w:sz w:val="20"/>
          <w:szCs w:val="20"/>
        </w:rPr>
      </w:pPr>
      <w:r>
        <w:rPr>
          <w:b/>
          <w:bCs/>
          <w:sz w:val="20"/>
          <w:szCs w:val="20"/>
        </w:rPr>
        <w:t xml:space="preserve"> </w:t>
      </w:r>
    </w:p>
    <w:p>
      <w:pPr>
        <w:pStyle w:val="BodyText0"/>
        <w:spacing w:before="8" w:after="0"/>
        <w:ind w:left="0" w:right="0"/>
        <w:rPr>
          <w:sz w:val="28"/>
          <w:szCs w:val="28"/>
        </w:rPr>
      </w:pPr>
      <w:r>
        <w:rPr>
          <w:b/>
          <w:bCs/>
          <w:sz w:val="28"/>
          <w:szCs w:val="28"/>
        </w:rPr>
        <w:t xml:space="preserve"> </w:t>
      </w:r>
    </w:p>
    <w:tbl>
      <w:tblPr>
        <w:tblStyle w:val="NormalTable"/>
        <w:tblInd w:w="146" w:type="dxa"/>
        <w:tblCellMar>
          <w:top w:w="0" w:type="dxa"/>
          <w:left w:w="0" w:type="dxa"/>
          <w:bottom w:w="0" w:type="dxa"/>
          <w:right w:w="0" w:type="dxa"/>
        </w:tblCellMar>
        <w:tblLook w:val="05E0"/>
      </w:tblPr>
      <w:tblGrid>
        <w:gridCol w:w="1097"/>
        <w:gridCol w:w="2813"/>
        <w:gridCol w:w="1357"/>
        <w:gridCol w:w="3616"/>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SAINT-GOBAIN</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Développeur BI (Mission Courte)</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Janvier 2020 – Février 2020</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La Défense</w:t>
            </w:r>
          </w:p>
        </w:tc>
      </w:tr>
    </w:tbl>
    <w:p>
      <w:pPr>
        <w:pStyle w:val="BodyText0"/>
        <w:spacing w:before="1" w:after="0"/>
        <w:ind w:left="0" w:right="0"/>
        <w:rPr>
          <w:sz w:val="17"/>
          <w:szCs w:val="17"/>
        </w:rPr>
      </w:pPr>
      <w:r>
        <w:rPr>
          <w:b/>
          <w:bCs/>
          <w:sz w:val="17"/>
          <w:szCs w:val="17"/>
        </w:rPr>
        <w:t xml:space="preserve"> </w:t>
      </w:r>
    </w:p>
    <w:p>
      <w:pPr>
        <w:pStyle w:val="p"/>
        <w:spacing w:before="98" w:after="0" w:line="252" w:lineRule="auto"/>
        <w:ind w:left="245" w:right="666"/>
        <w:rPr>
          <w:sz w:val="18"/>
          <w:szCs w:val="18"/>
        </w:rPr>
      </w:pPr>
      <w:r>
        <w:rPr>
          <w:b/>
          <w:bCs/>
          <w:color w:val="252525"/>
          <w:sz w:val="18"/>
          <w:szCs w:val="18"/>
        </w:rPr>
        <w:t xml:space="preserve">Participation à un projet de migration d'outils BI, avec un focus sur la validation de la cohérence et de la qualité des données post-migration.</w:t>
      </w:r>
    </w:p>
    <w:p>
      <w:pPr>
        <w:pStyle w:val="BodyText0"/>
        <w:spacing w:before="1" w:after="0"/>
        <w:ind w:left="0" w:right="0"/>
        <w:rPr>
          <w:sz w:val="19"/>
          <w:szCs w:val="19"/>
        </w:rPr>
      </w:pPr>
      <w:r>
        <w:rPr>
          <w:b/>
          <w:bCs/>
          <w:sz w:val="19"/>
          <w:szCs w:val="19"/>
        </w:rPr>
        <w:t xml:space="preserve"> </w:t>
      </w:r>
    </w:p>
    <w:p>
      <w:pPr>
        <w:pStyle w:val="ListParagraph0"/>
        <w:spacing w:before="0" w:after="0" w:line="252" w:lineRule="auto"/>
        <w:ind w:left="516" w:right="1094" w:hanging="27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Mise en place de processus de contrôle pour garantir la qualité et la cohérence des données migrées de QlikView vers MicroStrategy, en collaboration avec les équipes projet.</w:t>
      </w:r>
    </w:p>
    <w:p>
      <w:pPr>
        <w:pStyle w:val="BodyText0"/>
        <w:spacing w:before="4" w:after="0"/>
        <w:ind w:left="0" w:right="0"/>
        <w:rPr>
          <w:sz w:val="17"/>
          <w:szCs w:val="17"/>
        </w:rPr>
      </w:pPr>
      <w:r>
        <w:rPr>
          <w:sz w:val="17"/>
          <w:szCs w:val="17"/>
        </w:rPr>
        <w:t xml:space="preserve"> </w:t>
      </w:r>
    </w:p>
    <w:p>
      <w:pPr>
        <w:pStyle w:val="Heading2"/>
        <w:keepNext w:val="0"/>
        <w:keepLines w:val="0"/>
        <w:spacing w:before="0"/>
        <w:ind w:left="245" w:right="0"/>
        <w:rPr>
          <w:b/>
          <w:bCs/>
          <w:sz w:val="18"/>
          <w:szCs w:val="18"/>
        </w:rPr>
      </w:pPr>
      <w:r>
        <w:rPr>
          <w:i w:val="0"/>
          <w:color w:val="252525"/>
        </w:rPr>
        <w:t xml:space="preserve">Environnement : </w:t>
      </w:r>
      <w:r>
        <w:rPr>
          <w:i w:val="0"/>
          <w:color w:val="252525"/>
        </w:rPr>
        <w:t xml:space="preserve">MicroStrategy</w:t>
      </w:r>
      <w:r>
        <w:rPr>
          <w:i w:val="0"/>
          <w:color w:val="252525"/>
        </w:rPr>
        <w:t xml:space="preserve">, Tableau, </w:t>
      </w:r>
      <w:r>
        <w:rPr>
          <w:i w:val="0"/>
          <w:color w:val="252525"/>
        </w:rPr>
        <w:t xml:space="preserve">Snowflake</w:t>
      </w:r>
      <w:r>
        <w:rPr>
          <w:i w:val="0"/>
          <w:color w:val="252525"/>
        </w:rPr>
        <w:t xml:space="preserve">, SQL</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tbl>
      <w:tblPr>
        <w:tblStyle w:val="NormalTable"/>
        <w:tblInd w:w="146" w:type="dxa"/>
        <w:tblCellMar>
          <w:top w:w="0" w:type="dxa"/>
          <w:left w:w="0" w:type="dxa"/>
          <w:bottom w:w="0" w:type="dxa"/>
          <w:right w:w="0" w:type="dxa"/>
        </w:tblCellMar>
        <w:tblLook w:val="05E0"/>
      </w:tblPr>
      <w:tblGrid>
        <w:gridCol w:w="1097"/>
        <w:gridCol w:w="2814"/>
        <w:gridCol w:w="1357"/>
        <w:gridCol w:w="3615"/>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LAGARDERE ACTIVE</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Data Analyst</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Octobre 2017 – Janvier 2019</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Levallois-Perret</w:t>
            </w:r>
          </w:p>
        </w:tc>
      </w:tr>
    </w:tbl>
    <w:p>
      <w:pPr>
        <w:pStyle w:val="p"/>
        <w:spacing w:before="98" w:after="0" w:line="252" w:lineRule="auto"/>
        <w:ind w:left="245" w:right="666"/>
        <w:rPr>
          <w:sz w:val="18"/>
          <w:szCs w:val="18"/>
        </w:rPr>
      </w:pPr>
      <w:r>
        <w:rPr>
          <w:b/>
          <w:bCs/>
          <w:color w:val="252525"/>
          <w:sz w:val="18"/>
          <w:szCs w:val="18"/>
        </w:rPr>
        <w:t xml:space="preserve">Automatisation de la production de rapports RH via le développement de scripts de traitement et de transformation des données.</w:t>
      </w:r>
    </w:p>
    <w:p>
      <w:pPr>
        <w:pStyle w:val="BodyText0"/>
        <w:spacing w:before="1" w:after="0"/>
        <w:ind w:left="0" w:right="0"/>
        <w:rPr>
          <w:sz w:val="19"/>
          <w:szCs w:val="19"/>
        </w:rPr>
      </w:pPr>
      <w:r>
        <w:rPr>
          <w:b/>
          <w:bCs/>
          <w:sz w:val="19"/>
          <w:szCs w:val="19"/>
        </w:rPr>
        <w:t xml:space="preserve"> </w:t>
      </w:r>
    </w:p>
    <w:p>
      <w:pPr>
        <w:pStyle w:val="ListParagraph0"/>
        <w:spacing w:before="0" w:after="0" w:line="252" w:lineRule="auto"/>
        <w:ind w:left="516" w:right="1094" w:hanging="27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Développement et maintenance de scripts (VBA) pour automatiser l'extraction et la transformation des données RH depuis l'ERP PeopleSoft, fiabilisant la production des reportings.</w:t>
      </w:r>
    </w:p>
    <w:p>
      <w:pPr>
        <w:pStyle w:val="ListParagraph0"/>
        <w:spacing w:before="0" w:after="0" w:line="252" w:lineRule="auto"/>
        <w:ind w:left="516" w:right="1094" w:firstLine="0"/>
        <w:rPr>
          <w:sz w:val="19"/>
          <w:szCs w:val="19"/>
        </w:rPr>
      </w:pPr>
      <w:r>
        <w:rPr>
          <w:sz w:val="19"/>
          <w:szCs w:val="19"/>
        </w:rPr>
        <w:t xml:space="preserve"> </w:t>
      </w:r>
    </w:p>
    <w:p>
      <w:pPr>
        <w:pStyle w:val="ListParagraph0"/>
        <w:spacing w:before="4" w:after="0" w:line="250" w:lineRule="auto"/>
        <w:ind w:left="516" w:right="829" w:firstLine="0"/>
        <w:rPr>
          <w:sz w:val="17"/>
          <w:szCs w:val="17"/>
        </w:rPr>
      </w:pPr>
      <w:r>
        <w:rPr>
          <w:sz w:val="17"/>
          <w:szCs w:val="17"/>
        </w:rPr>
        <w:t xml:space="preserve"> </w:t>
      </w:r>
    </w:p>
    <w:p>
      <w:pPr>
        <w:pStyle w:val="Heading2"/>
        <w:keepNext w:val="0"/>
        <w:keepLines w:val="0"/>
        <w:spacing w:before="0"/>
        <w:ind w:left="245" w:right="0"/>
        <w:rPr>
          <w:b/>
          <w:bCs/>
          <w:sz w:val="18"/>
          <w:szCs w:val="18"/>
        </w:rPr>
      </w:pPr>
      <w:r>
        <w:rPr>
          <w:i w:val="0"/>
          <w:color w:val="252525"/>
        </w:rPr>
        <w:t xml:space="preserve">Environnement : </w:t>
      </w:r>
      <w:r>
        <w:rPr>
          <w:i w:val="0"/>
          <w:color w:val="252525"/>
        </w:rPr>
        <w:t xml:space="preserve">PeopleSoft, Excel, VBA</w:t>
      </w:r>
    </w:p>
    <w:p>
      <w:pPr>
        <w:pStyle w:val="p"/>
        <w:spacing w:before="0" w:after="0"/>
        <w:ind w:left="0" w:right="0"/>
        <w:rPr>
          <w:sz w:val="20"/>
          <w:szCs w:val="20"/>
        </w:rPr>
        <w:sectPr>
          <w:type w:val="nextPage"/>
          <w:pgSz w:w="11907" w:h="16839"/>
          <w:pgMar w:top="1440" w:right="1440" w:bottom="1440" w:left="1440" w:header="708" w:footer="708" w:gutter="0"/>
          <w:titlePg/>
        </w:sectPr>
      </w:pPr>
      <w:bookmarkStart w:id="4" w:name="Diapositive_4"/>
      <w:bookmarkEnd w:id="4"/>
      <w:r>
        <w:rPr>
          <w:sz w:val="20"/>
          <w:szCs w:val="20"/>
        </w:rPr>
        <w:t xml:space="preserve"> </w:t>
      </w:r>
    </w:p>
    <w:p>
      <w:pPr>
        <w:pStyle w:val="p"/>
        <w:spacing w:before="174" w:after="0"/>
        <w:ind w:left="0" w:right="0"/>
        <w:rPr>
          <w:sz w:val="19"/>
          <w:szCs w:val="19"/>
        </w:rPr>
      </w:pPr>
      <w:r>
        <w:rPr>
          <w:sz w:val="19"/>
          <w:szCs w:val="19"/>
        </w:rPr>
        <w:t xml:space="preserve"> </w:t>
      </w:r>
    </w:p>
    <w:sectPr>
      <w:type w:val="continuous"/>
      <w:pgSz w:w="11907" w:h="16839"/>
      <w:pgMar w:top="1440" w:right="1440" w:bottom="1440" w:left="1440" w:header="708" w:footer="708" w:gutter="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0"/>
      <w:tabs>
        <w:tab w:val="center" w:pos="4536"/>
      </w:tabs>
      <w:spacing w:before="0" w:after="0"/>
      <w:ind w:left="0" w:right="0"/>
      <w:rPr>
        <w:rFonts w:ascii="Arial" w:eastAsia="Arial" w:hAnsi="Arial" w:cs="Arial"/>
        <w:sz w:val="22"/>
        <w:szCs w:val="22"/>
      </w:rPr>
    </w:pPr>
    <w:r>
      <w:rPr>
        <w:sz w:val="16"/>
        <w:szCs w:val="16"/>
      </w:rPr>
      <w:t xml:space="preserve">© 2025 NRJBI</w:t>
    </w:r>
    <w:r>
      <w:t xml:space="preserve"> </w:t>
    </w:r>
    <w:r>
      <w:rPr>
        <w:rFonts w:ascii="Arial" w:eastAsia="Arial" w:hAnsi="Arial" w:cs="Arial"/>
        <w:sz w:val="22"/>
        <w:szCs w:val="22"/>
      </w:rPr>
      <w:tab/>
    </w:r>
    <w:r>
      <w:rPr>
        <w:sz w:val="16"/>
        <w:szCs w:val="16"/>
      </w:rPr>
      <w:t xml:space="preserve">Christopher </w:t>
    </w:r>
    <w:r>
      <w:rPr>
        <w:sz w:val="16"/>
        <w:szCs w:val="16"/>
      </w:rPr>
      <w:t xml:space="preserve">Eck</w:t>
    </w:r>
  </w:p>
  <w:p>
    <w:pPr>
      <w:pStyle w:val="Footer_0"/>
      <w:tabs>
        <w:tab w:val="center" w:pos="4536"/>
        <w:tab w:val="right" w:pos="9072"/>
      </w:tabs>
      <w:spacing w:before="0" w:after="0"/>
      <w:ind w:left="0" w:right="0"/>
      <w:jc w:val="center"/>
      <w:rPr>
        <w:rFonts w:ascii="Arial" w:eastAsia="Arial" w:hAnsi="Arial" w:cs="Arial"/>
        <w:sz w:val="22"/>
        <w:szCs w:val="22"/>
      </w:rPr>
    </w:pPr>
    <w:hyperlink r:id="rId1" w:history="1">
      <w:r>
        <w:rPr>
          <w:color w:val="000000"/>
          <w:sz w:val="16"/>
          <w:szCs w:val="16"/>
        </w:rPr>
        <w:t xml:space="preserve">jba@nrjbi.com</w:t>
      </w:r>
    </w:hyperlink>
    <w:r>
      <w:rPr>
        <w:sz w:val="16"/>
        <w:szCs w:val="16"/>
      </w:rPr>
      <w:t xml:space="preserve"> / 06.14.15.10.85</w:t>
    </w:r>
    <w:r>
      <w:rPr>
        <w:sz w:val="16"/>
        <w:szCs w:val="16"/>
      </w:rPr>
      <w:br/>
    </w:r>
    <w:r>
      <w:rPr>
        <w:rFonts w:ascii="Arial" w:eastAsia="Arial" w:hAnsi="Arial" w:cs="Arial"/>
        <w:sz w:val="22"/>
        <w:szCs w:val="22"/>
      </w:rPr>
      <w:tab/>
    </w:r>
    <w:r>
      <w:rPr>
        <w:rFonts w:ascii="Arial" w:eastAsia="Arial" w:hAnsi="Arial" w:cs="Arial"/>
        <w:sz w:val="22"/>
        <w:szCs w:val="22"/>
      </w:rPr>
      <w:tab/>
    </w:r>
    <w:r>
      <w:t xml:space="preserve">[Tapez ici]</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pPr>
      <w:widowControl w:val="0"/>
    </w:pPr>
    <w:rPr>
      <w:rFonts w:ascii="Arial" w:eastAsia="Arial" w:hAnsi="Arial" w:cs="Arial"/>
      <w:sz w:val="22"/>
      <w:szCs w:val="22"/>
    </w:r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rsid w:val="00EF7B96"/>
    <w:pPr>
      <w:keepNext/>
      <w:keepLines/>
      <w:widowControl w:val="0"/>
      <w:spacing w:before="480" w:after="0"/>
      <w:outlineLvl w:val="0"/>
    </w:pPr>
    <w:rPr>
      <w:rFonts w:ascii="Arial" w:eastAsia="Arial" w:hAnsi="Arial" w:cs="Arial"/>
      <w:b w:val="0"/>
      <w:bCs w:val="0"/>
      <w:i w:val="0"/>
      <w:color w:val="365F91"/>
      <w:kern w:val="36"/>
      <w:sz w:val="24"/>
      <w:szCs w:val="24"/>
    </w:rPr>
  </w:style>
  <w:style w:type="paragraph" w:styleId="Heading2">
    <w:name w:val="Heading 2"/>
    <w:basedOn w:val="Normal"/>
    <w:next w:val="Normal"/>
    <w:uiPriority w:val="9"/>
    <w:semiHidden/>
    <w:unhideWhenUsed/>
    <w:qFormat/>
    <w:rsid w:val="00EF7B96"/>
    <w:pPr>
      <w:keepNext/>
      <w:keepLines/>
      <w:widowControl w:val="0"/>
      <w:spacing w:before="200" w:after="0"/>
      <w:outlineLvl w:val="1"/>
    </w:pPr>
    <w:rPr>
      <w:rFonts w:ascii="Arial" w:eastAsia="Arial" w:hAnsi="Arial" w:cs="Arial"/>
      <w:b/>
      <w:bCs/>
      <w:i w:val="0"/>
      <w:color w:val="4F81BD"/>
      <w:sz w:val="18"/>
      <w:szCs w:val="18"/>
    </w:rPr>
  </w:style>
  <w:style w:type="paragraph" w:styleId="Heading3">
    <w:name w:val="Heading 3"/>
    <w:basedOn w:val="Normal"/>
    <w:next w:val="Normal"/>
    <w:uiPriority w:val="9"/>
    <w:semiHidden/>
    <w:unhideWhenUsed/>
    <w:qFormat/>
    <w:rsid w:val="00EF7B96"/>
    <w:pPr>
      <w:keepNext/>
      <w:keepLines/>
      <w:spacing w:before="200" w:after="0"/>
      <w:outlineLvl w:val="2"/>
    </w:pPr>
    <w:rPr>
      <w:rFonts w:ascii="Times New Roman" w:eastAsia="Times New Roman" w:hAnsi="Times New Roman" w:cs="Times New Roman"/>
      <w:b/>
      <w:bCs/>
      <w:i w:val="0"/>
      <w:color w:val="4F81BD"/>
      <w:sz w:val="28"/>
      <w:szCs w:val="28"/>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imes New Roman" w:eastAsia="Times New Roman" w:hAnsi="Times New Roman" w:cs="Times New Roman"/>
      <w:b/>
      <w:bCs/>
      <w:i w:val="0"/>
      <w:iCs/>
      <w:color w:val="4F81BD"/>
      <w:sz w:val="24"/>
      <w:szCs w:val="24"/>
    </w:rPr>
  </w:style>
  <w:style w:type="paragraph" w:styleId="Heading5">
    <w:name w:val="Heading 5"/>
    <w:basedOn w:val="Normal"/>
    <w:next w:val="Normal"/>
    <w:uiPriority w:val="9"/>
    <w:semiHidden/>
    <w:unhideWhenUsed/>
    <w:qFormat/>
    <w:rsid w:val="00EF7B96"/>
    <w:pPr>
      <w:keepNext/>
      <w:keepLines/>
      <w:spacing w:before="200" w:after="0"/>
      <w:outlineLvl w:val="4"/>
    </w:pPr>
    <w:rPr>
      <w:rFonts w:ascii="Times New Roman" w:eastAsia="Times New Roman" w:hAnsi="Times New Roman" w:cs="Times New Roman"/>
      <w:b/>
      <w:bCs/>
      <w:i w:val="0"/>
      <w:color w:val="243F60"/>
      <w:sz w:val="20"/>
      <w:szCs w:val="20"/>
    </w:rPr>
  </w:style>
  <w:style w:type="paragraph" w:styleId="Heading6">
    <w:name w:val="Heading 6"/>
    <w:basedOn w:val="Normal"/>
    <w:next w:val="Normal"/>
    <w:uiPriority w:val="9"/>
    <w:semiHidden/>
    <w:unhideWhenUsed/>
    <w:qFormat/>
    <w:rsid w:val="00EF7B96"/>
    <w:pPr>
      <w:keepNext/>
      <w:keepLines/>
      <w:spacing w:before="200" w:after="0"/>
      <w:outlineLvl w:val="5"/>
    </w:pPr>
    <w:rPr>
      <w:rFonts w:ascii="Times New Roman" w:eastAsia="Times New Roman" w:hAnsi="Times New Roman" w:cs="Times New Roman"/>
      <w:b/>
      <w:bCs/>
      <w:i w:val="0"/>
      <w:iCs/>
      <w:color w:val="243F60"/>
      <w:sz w:val="16"/>
      <w:szCs w:val="16"/>
    </w:rPr>
  </w:style>
  <w:style w:type="paragraph" w:styleId="p">
    <w:name w:val="p"/>
    <w:basedOn w:val="Normal"/>
  </w:style>
  <w:style w:type="paragraph" w:styleId="BodyText">
    <w:name w:val="Body Text"/>
    <w:basedOn w:val="Normal"/>
    <w:qFormat/>
    <w:rsid w:val="00805BCE"/>
    <w:pPr>
      <w:spacing w:after="120"/>
    </w:pPr>
  </w:style>
  <w:style w:type="paragraph" w:styleId="BodyText0">
    <w:name w:val="BodyText"/>
    <w:basedOn w:val="Normal"/>
    <w:pPr>
      <w:widowControl w:val="0"/>
    </w:pPr>
    <w:rPr>
      <w:rFonts w:ascii="Arial" w:eastAsia="Arial" w:hAnsi="Arial" w:cs="Arial"/>
      <w:sz w:val="18"/>
      <w:szCs w:val="18"/>
    </w:rPr>
  </w:style>
  <w:style w:type="paragraph" w:styleId="Footer">
    <w:name w:val="Footer"/>
    <w:basedOn w:val="Normal"/>
    <w:qFormat/>
    <w:rsid w:val="00EF7B96"/>
    <w:pPr>
      <w:tabs>
        <w:tab w:val="center" w:pos="4677"/>
        <w:tab w:val="right" w:pos="9355"/>
      </w:tabs>
    </w:pPr>
  </w:style>
  <w:style w:type="paragraph" w:styleId="Footer_0">
    <w:name w:val="Footer_0"/>
    <w:basedOn w:val="Normal"/>
    <w:pPr>
      <w:widowControl w:val="0"/>
    </w:pPr>
    <w:rPr>
      <w:rFonts w:ascii="Arial" w:eastAsia="Arial" w:hAnsi="Arial" w:cs="Arial"/>
      <w:sz w:val="22"/>
      <w:szCs w:val="22"/>
    </w:rPr>
  </w:style>
  <w:style w:type="table" w:default="1" w:styleId="NormalTable">
    <w:name w:val="Normal Table"/>
    <w:uiPriority w:val="99"/>
    <w:semiHidden/>
    <w:unhideWhenUsed/>
    <w:qFormat/>
    <w:tblPr>
      <w:tblInd w:w="0" w:type="dxa"/>
      <w:tblCellMar>
        <w:top w:w="0" w:type="dxa"/>
        <w:left w:w="108" w:type="dxa"/>
        <w:bottom w:w="0" w:type="dxa"/>
        <w:right w:w="108" w:type="dxa"/>
      </w:tblCellMar>
    </w:tblPr>
  </w:style>
  <w:style w:type="paragraph" w:styleId="TableParagraph">
    <w:name w:val="Table Paragraph"/>
    <w:basedOn w:val="Normal"/>
    <w:pPr>
      <w:widowControl w:val="0"/>
    </w:pPr>
    <w:rPr>
      <w:rFonts w:ascii="Arial" w:eastAsia="Arial" w:hAnsi="Arial" w:cs="Arial"/>
      <w:sz w:val="22"/>
      <w:szCs w:val="22"/>
    </w:rPr>
  </w:style>
  <w:style w:type="table" w:styleId="TableNormal">
    <w:name w:val="TableNormal"/>
    <w:tblPr/>
  </w:style>
  <w:style w:type="paragraph" w:styleId="ListParagraph">
    <w:name w:val="List Paragraph"/>
    <w:basedOn w:val="Normal"/>
    <w:uiPriority w:val="34"/>
    <w:qFormat/>
    <w:rsid w:val="00743E52"/>
    <w:pPr>
      <w:ind w:left="720"/>
      <w:contextualSpacing/>
    </w:pPr>
  </w:style>
  <w:style w:type="paragraph" w:styleId="ListParagraph0">
    <w:name w:val="ListParagraph"/>
    <w:basedOn w:val="Normal"/>
    <w:pPr>
      <w:widowControl w:val="0"/>
      <w:ind w:hanging="270"/>
    </w:pPr>
    <w:rPr>
      <w:rFonts w:ascii="Arial" w:eastAsia="Arial" w:hAnsi="Arial" w:cs="Arial"/>
      <w:sz w:val="22"/>
      <w:szCs w:val="22"/>
    </w:r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fontTable" Target="fontTable.xml" /></Relationships>
</file>

<file path=word/_rels/footer1.xml.rels>&#65279;<?xml version="1.0" encoding="utf-8" standalone="yes"?><Relationships xmlns="http://schemas.openxmlformats.org/package/2006/relationships"><Relationship Id="rId1" Type="http://schemas.openxmlformats.org/officeDocument/2006/relationships/hyperlink" Target="mailto:jba@nrjb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2025-10-28T10:44:40Z</dcterms:created>
  <dcterms:modified xsi:type="dcterms:W3CDTF">2025-10-28T10:44:40Z</dcterms:modified>
</cp:coreProperties>
</file>