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pStyle w:val="BodyText0"/>
        <w:spacing w:before="0" w:after="0"/>
        <w:ind w:left="0" w:right="0"/>
        <w:rPr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 </w:t>
      </w:r>
    </w:p>
    <w:p>
      <w:pPr>
        <w:pStyle w:val="BodyText0"/>
        <w:spacing w:before="6" w:after="0"/>
        <w:ind w:left="0" w:right="0"/>
        <w:rPr>
          <w:sz w:val="21"/>
          <w:szCs w:val="21"/>
        </w:rPr>
        <w:sectPr>
          <w:footerReference w:type="default" r:id="rId3"/>
          <w:pgSz w:w="11907" w:h="16839"/>
          <w:pgMar w:top="1440" w:right="1440" w:bottom="1440" w:left="1440" w:header="708" w:footer="708" w:gutter="0"/>
          <w:titlePg/>
        </w:sect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 </w:t>
      </w:r>
    </w:p>
    <w:p>
      <w:pPr>
        <w:pStyle w:val="BodyText0"/>
        <w:spacing w:before="0" w:after="0"/>
        <w:ind w:left="0" w:right="0"/>
        <w:rPr>
          <w:sz w:val="61"/>
          <w:szCs w:val="61"/>
        </w:rPr>
      </w:pPr>
      <w:r>
        <w:rPr>
          <w:rFonts w:ascii="Times New Roman" w:eastAsia="Times New Roman" w:hAnsi="Times New Roman" w:cs="Times New Roman"/>
          <w:sz w:val="61"/>
          <w:szCs w:val="61"/>
        </w:rPr>
        <w:t xml:space="preserve"> </w:t>
      </w:r>
    </w:p>
    <w:p>
      <w:pPr>
        <w:pStyle w:val="p"/>
        <w:spacing w:before="0" w:after="0"/>
        <w:ind w:left="351" w:right="0"/>
        <w:rPr>
          <w:sz w:val="48"/>
          <w:szCs w:val="48"/>
        </w:rPr>
      </w:pPr>
      <w:bookmarkStart w:id="0" w:name="Diapositive_1"/>
      <w:bookmarkEnd w:id="0"/>
      <w:r>
        <w:rPr>
          <w:b/>
          <w:bCs/>
          <w:color w:val="252525"/>
          <w:sz w:val="48"/>
          <w:szCs w:val="48"/>
        </w:rPr>
        <w:t xml:space="preserve">ESTHER</w:t>
      </w:r>
      <w:r>
        <w:rPr>
          <w:b/>
          <w:bCs/>
          <w:color w:val="252525"/>
          <w:sz w:val="48"/>
          <w:szCs w:val="48"/>
        </w:rPr>
        <w:t xml:space="preserve"> </w:t>
      </w:r>
      <w:r>
        <w:rPr>
          <w:b/>
          <w:bCs/>
          <w:color w:val="252525"/>
          <w:sz w:val="48"/>
          <w:szCs w:val="48"/>
        </w:rPr>
        <w:t xml:space="preserve">R</w:t>
      </w:r>
      <w:r>
        <w:rPr>
          <w:b/>
          <w:bCs/>
          <w:color w:val="252525"/>
          <w:sz w:val="48"/>
          <w:szCs w:val="48"/>
        </w:rPr>
        <w:t xml:space="preserve">.</w:t>
      </w:r>
    </w:p>
    <w:p>
      <w:pPr>
        <w:pStyle w:val="p"/>
        <w:spacing w:before="143" w:after="0"/>
        <w:ind w:left="351" w:right="0"/>
        <w:rPr>
          <w:sz w:val="24"/>
          <w:szCs w:val="24"/>
        </w:rPr>
      </w:pPr>
      <w:r>
        <w:rPr>
          <w:color w:val="252525"/>
          <w:sz w:val="24"/>
          <w:szCs w:val="24"/>
        </w:rPr>
        <w:t xml:space="preserve">Consultante</w:t>
      </w:r>
      <w:r>
        <w:rPr>
          <w:color w:val="252525"/>
          <w:sz w:val="24"/>
          <w:szCs w:val="24"/>
        </w:rPr>
        <w:t xml:space="preserve"> Data (BA/DA/</w:t>
      </w:r>
      <w:r>
        <w:rPr>
          <w:color w:val="252525"/>
          <w:sz w:val="24"/>
          <w:szCs w:val="24"/>
        </w:rPr>
        <w:t xml:space="preserve">BI</w:t>
      </w:r>
      <w:r>
        <w:rPr>
          <w:color w:val="252525"/>
          <w:sz w:val="24"/>
          <w:szCs w:val="24"/>
        </w:rPr>
        <w:t xml:space="preserve"> </w:t>
      </w:r>
      <w:r>
        <w:rPr>
          <w:color w:val="252525"/>
          <w:sz w:val="24"/>
          <w:szCs w:val="24"/>
        </w:rPr>
        <w:t xml:space="preserve">Confirmée</w:t>
      </w:r>
    </w:p>
    <w:p>
      <w:pPr>
        <w:pStyle w:val="BodyText0"/>
        <w:spacing w:before="0" w:after="0"/>
        <w:ind w:left="0" w:right="0"/>
        <w:rPr>
          <w:sz w:val="20"/>
          <w:szCs w:val="20"/>
        </w:rPr>
      </w:pPr>
      <w:r>
        <w:rPr>
          <w:sz w:val="18"/>
          <w:szCs w:val="18"/>
        </w:rPr>
      </w:r>
      <w:r>
        <w:rPr>
          <w:sz w:val="20"/>
          <w:szCs w:val="20"/>
        </w:rPr>
        <w:t xml:space="preserve"> </w:t>
      </w:r>
    </w:p>
    <w:p>
      <w:pPr>
        <w:pStyle w:val="BodyText0"/>
        <w:spacing w:before="0" w:after="0"/>
        <w:ind w:left="0" w:right="0"/>
        <w:rPr>
          <w:sz w:val="20"/>
          <w:szCs w:val="20"/>
        </w:rPr>
      </w:pPr>
      <w:r>
        <w:rPr>
          <w:sz w:val="20"/>
          <w:szCs w:val="20"/>
        </w:rPr>
        <w:t xml:space="preserve"> </w:t>
      </w:r>
    </w:p>
    <w:p>
      <w:pPr>
        <w:spacing w:after="0"/>
        <w:ind w:left="0" w:right="0"/>
        <w:rPr>
          <w:sz w:val="20"/>
          <w:szCs w:val="20"/>
        </w:rPr>
      </w:pPr>
      <w:r>
        <w:rPr>
          <w:strike w:val="0"/>
          <w:sz w:val="18"/>
          <w:szCs w:val="18"/>
          <w:u w:val="none"/>
        </w:rPr>
        <w:drawing>
          <wp:anchor simplePos="0" relativeHeight="251658240" behindDoc="0" locked="0" layoutInCell="1" allowOverlap="1">
            <wp:simplePos x="0" y="0"/>
            <wp:positionH relativeFrom="page">
              <wp:posOffset>5200523</wp:posOffset>
            </wp:positionH>
            <wp:positionV relativeFrom="paragraph">
              <wp:posOffset>32385</wp:posOffset>
            </wp:positionV>
            <wp:extent cx="180975" cy="381000"/>
            <wp:wrapNone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44474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  <w:szCs w:val="20"/>
        </w:rPr>
        <w:t xml:space="preserve"> </w:t>
      </w:r>
    </w:p>
    <w:p>
      <w:pPr>
        <w:pStyle w:val="BodyText0"/>
        <w:spacing w:before="1" w:after="0"/>
        <w:ind w:left="0" w:right="0"/>
        <w:rPr>
          <w:sz w:val="19"/>
          <w:szCs w:val="19"/>
        </w:rPr>
      </w:pPr>
      <w:r>
        <w:rPr>
          <w:sz w:val="19"/>
          <w:szCs w:val="19"/>
        </w:rPr>
        <w:t xml:space="preserve"> </w:t>
      </w:r>
    </w:p>
    <w:p>
      <w:pPr>
        <w:pStyle w:val="p"/>
        <w:spacing w:before="103" w:after="0"/>
        <w:ind w:left="0" w:right="403" w:firstLine="323"/>
        <w:rPr>
          <w:sz w:val="18"/>
          <w:szCs w:val="18"/>
        </w:rPr>
      </w:pPr>
      <w:r/>
      <w:r>
        <w:rPr>
          <w:color w:val="252525"/>
          <w:sz w:val="18"/>
          <w:szCs w:val="18"/>
          <w:u w:val="single" w:color="252525"/>
        </w:rPr>
        <w:t xml:space="preserve">Nous contacter</w:t>
      </w:r>
      <w:r>
        <w:rPr>
          <w:color w:val="252525"/>
          <w:sz w:val="18"/>
          <w:szCs w:val="18"/>
          <w:u w:val="single" w:color="252525"/>
        </w:rPr>
        <w:t xml:space="preserve"> </w:t>
      </w:r>
      <w:r>
        <w:rPr>
          <w:color w:val="252525"/>
          <w:sz w:val="18"/>
          <w:szCs w:val="18"/>
          <w:u w:val="single" w:color="252525"/>
        </w:rPr>
        <w:t xml:space="preserve">:</w:t>
      </w:r>
    </w:p>
    <w:p>
      <w:pPr>
        <w:pStyle w:val="p"/>
        <w:spacing w:before="122" w:after="0"/>
        <w:ind w:left="0" w:right="453" w:firstLine="323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 </w:t>
      </w:r>
      <w:r>
        <w:rPr>
          <w:b/>
          <w:bCs/>
          <w:color w:val="252525"/>
          <w:sz w:val="18"/>
          <w:szCs w:val="18"/>
        </w:rPr>
        <w:t xml:space="preserve">06.14.15.10.85</w:t>
      </w:r>
    </w:p>
    <w:p>
      <w:pPr>
        <w:pStyle w:val="BodyText0"/>
        <w:spacing w:before="0" w:after="0"/>
        <w:ind w:left="0" w:right="0" w:firstLine="323"/>
        <w:rPr>
          <w:sz w:val="18"/>
          <w:szCs w:val="18"/>
        </w:rPr>
      </w:pPr>
      <w:r>
        <w:rPr>
          <w:b/>
          <w:bCs/>
          <w:color w:val="252525"/>
        </w:rPr>
        <w:t xml:space="preserve">  jba@nrjbi.com</w:t>
      </w:r>
    </w:p>
    <w:p>
      <w:pPr>
        <w:pStyle w:val="BodyText0"/>
        <w:spacing w:before="4" w:after="0"/>
        <w:ind w:left="0" w:right="0"/>
        <w:rPr>
          <w:sz w:val="20"/>
          <w:szCs w:val="20"/>
        </w:rPr>
      </w:pPr>
      <w:r>
        <w:rPr>
          <w:sz w:val="20"/>
          <w:szCs w:val="20"/>
        </w:rPr>
        <w:t xml:space="preserve"> </w:t>
      </w:r>
    </w:p>
    <w:p>
      <w:pPr>
        <w:pStyle w:val="BodyText0"/>
        <w:spacing w:before="0" w:after="0" w:line="257" w:lineRule="atLeast"/>
        <w:ind w:left="323" w:right="85"/>
        <w:jc w:val="center"/>
        <w:rPr>
          <w:sz w:val="18"/>
          <w:szCs w:val="18"/>
        </w:rPr>
        <w:sectPr>
          <w:type w:val="continuous"/>
          <w:pgSz w:w="11907" w:h="16839"/>
          <w:pgMar w:top="1440" w:right="1440" w:bottom="1440" w:left="1440" w:header="708" w:footer="708" w:gutter="0"/>
          <w:titlePg/>
        </w:sect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 </w:t>
      </w:r>
    </w:p>
    <w:p>
      <w:pPr>
        <w:pStyle w:val="BodyText0"/>
        <w:spacing w:before="5" w:after="0"/>
        <w:ind w:left="0" w:right="0"/>
        <w:rPr>
          <w:sz w:val="18"/>
          <w:szCs w:val="18"/>
        </w:rPr>
      </w:pPr>
      <w:r>
        <w:rPr>
          <w:strike w:val="0"/>
          <w:u w:val="none"/>
        </w:rPr>
        <w:drawing>
          <wp:anchor simplePos="0" relativeHeight="251659264" behindDoc="0" locked="0" layoutInCell="1" allowOverlap="0">
            <wp:simplePos x="0" y="0"/>
            <wp:positionH relativeFrom="column">
              <wp:align>left</wp:align>
            </wp:positionH>
            <wp:positionV relativeFrom="paragraph">
              <wp:posOffset>5080</wp:posOffset>
            </wp:positionV>
            <wp:extent cx="600075" cy="57150"/>
            <wp:wrapSquare wrapText="bothSides"/>
            <wp:docPr id="10000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98901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keepNext w:val="0"/>
        <w:keepLines w:val="0"/>
        <w:spacing w:before="98"/>
        <w:ind w:left="351" w:right="0"/>
        <w:rPr>
          <w:b w:val="0"/>
          <w:bCs w:val="0"/>
          <w:sz w:val="24"/>
          <w:szCs w:val="24"/>
        </w:rPr>
      </w:pPr>
      <w:r>
        <w:rPr>
          <w:strike w:val="0"/>
          <w:sz w:val="18"/>
          <w:szCs w:val="18"/>
          <w:u w:val="none"/>
        </w:rPr>
        <w:drawing>
          <wp:anchor simplePos="0" relativeHeight="251663360" behindDoc="1" locked="0" layoutInCell="1" allowOverlap="1">
            <wp:simplePos x="0" y="0"/>
            <wp:positionH relativeFrom="column">
              <wp:posOffset>-457200</wp:posOffset>
            </wp:positionH>
            <wp:positionV relativeFrom="paragraph">
              <wp:posOffset>-1967103</wp:posOffset>
            </wp:positionV>
            <wp:extent cx="6858000" cy="809625"/>
            <wp:wrapNone/>
            <wp:docPr id="100003" name="" descr="Une image contenant capture d’écran, texte, graphisme, Graphique  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681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strike w:val="0"/>
          <w:color w:val="auto"/>
          <w:u w:val="none"/>
        </w:rPr>
        <w:drawing>
          <wp:anchor simplePos="0" relativeHeight="251660288" behindDoc="0" locked="0" layoutInCell="1" allowOverlap="1">
            <wp:simplePos x="0" y="0"/>
            <wp:positionH relativeFrom="page">
              <wp:posOffset>528955</wp:posOffset>
            </wp:positionH>
            <wp:positionV relativeFrom="paragraph">
              <wp:posOffset>303530</wp:posOffset>
            </wp:positionV>
            <wp:extent cx="5791200" cy="19050"/>
            <wp:wrapTopAndBottom/>
            <wp:docPr id="10000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4150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strike w:val="0"/>
          <w:color w:val="auto"/>
          <w:u w:val="none"/>
        </w:rPr>
        <w:br/>
      </w:r>
      <w:r>
        <w:rPr>
          <w:i w:val="0"/>
          <w:color w:val="093653"/>
        </w:rPr>
        <w:t xml:space="preserve">Présentation</w:t>
      </w:r>
    </w:p>
    <w:p>
      <w:pPr>
        <w:pStyle w:val="BodyText0"/>
        <w:spacing w:before="8" w:after="0"/>
        <w:ind w:left="0" w:right="0"/>
        <w:rPr>
          <w:sz w:val="10"/>
          <w:szCs w:val="10"/>
        </w:rPr>
      </w:pPr>
      <w:r>
        <w:rPr>
          <w:sz w:val="10"/>
          <w:szCs w:val="10"/>
        </w:rPr>
        <w:t xml:space="preserve"> </w:t>
      </w:r>
    </w:p>
    <w:p>
      <w:pPr>
        <w:pStyle w:val="BodyText0"/>
        <w:spacing w:before="2" w:after="0"/>
        <w:ind w:left="0" w:right="706"/>
        <w:jc w:val="both"/>
        <w:rPr>
          <w:sz w:val="18"/>
          <w:szCs w:val="18"/>
        </w:rPr>
      </w:pPr>
      <w:r>
        <w:rPr>
          <w:color w:val="252525"/>
        </w:rPr>
        <w:t xml:space="preserve">Consultante BI spécialisée </w:t>
      </w:r>
      <w:r>
        <w:rPr>
          <w:color w:val="252525"/>
        </w:rPr>
        <w:t xml:space="preserve">dans </w:t>
      </w:r>
      <w:r>
        <w:rPr>
          <w:b/>
          <w:bCs/>
          <w:color w:val="252525"/>
        </w:rPr>
        <w:t xml:space="preserve">Power BI et </w:t>
      </w:r>
      <w:r>
        <w:rPr>
          <w:b/>
          <w:bCs/>
          <w:color w:val="252525"/>
        </w:rPr>
        <w:t xml:space="preserve">MicroStrategy</w:t>
      </w:r>
      <w:r>
        <w:rPr>
          <w:b/>
          <w:bCs/>
          <w:color w:val="252525"/>
        </w:rPr>
        <w:t xml:space="preserve"> avec une expérience confirmée en migration d’architectures BI, modélisation de données, CI/CD et optimisation de rapports</w:t>
      </w:r>
      <w:r>
        <w:rPr>
          <w:color w:val="252525"/>
        </w:rPr>
        <w:t xml:space="preserve">. </w:t>
      </w:r>
      <w:r>
        <w:rPr>
          <w:color w:val="252525"/>
        </w:rPr>
        <w:t xml:space="preserve">Habituée à g</w:t>
      </w:r>
      <w:r>
        <w:rPr>
          <w:color w:val="252525"/>
        </w:rPr>
        <w:t xml:space="preserve">érer des projets de bout en bout (</w:t>
      </w:r>
      <w:r>
        <w:rPr>
          <w:color w:val="252525"/>
        </w:rPr>
        <w:t xml:space="preserve">du</w:t>
      </w:r>
      <w:r>
        <w:rPr>
          <w:b/>
          <w:bCs/>
          <w:color w:val="252525"/>
        </w:rPr>
        <w:t xml:space="preserve"> </w:t>
      </w:r>
      <w:r>
        <w:rPr>
          <w:color w:val="252525"/>
        </w:rPr>
        <w:t xml:space="preserve">recueil des besoins</w:t>
      </w:r>
      <w:r>
        <w:rPr>
          <w:color w:val="252525"/>
        </w:rPr>
        <w:t xml:space="preserve"> </w:t>
      </w:r>
      <w:r>
        <w:rPr>
          <w:color w:val="252525"/>
        </w:rPr>
        <w:t xml:space="preserve">à la</w:t>
      </w:r>
      <w:r>
        <w:rPr>
          <w:color w:val="252525"/>
        </w:rPr>
        <w:t xml:space="preserve"> formation utilisateurs) dans les domaines </w:t>
      </w:r>
      <w:r>
        <w:rPr>
          <w:b/>
          <w:bCs/>
          <w:color w:val="252525"/>
        </w:rPr>
        <w:t xml:space="preserve">Supply Chain, </w:t>
      </w:r>
      <w:r>
        <w:rPr>
          <w:b/>
          <w:bCs/>
          <w:color w:val="252525"/>
        </w:rPr>
        <w:t xml:space="preserve">Finance, et </w:t>
      </w:r>
      <w:r>
        <w:rPr>
          <w:b/>
          <w:bCs/>
          <w:color w:val="252525"/>
        </w:rPr>
        <w:t xml:space="preserve">Logistique</w:t>
      </w:r>
      <w:r>
        <w:rPr>
          <w:color w:val="252525"/>
        </w:rPr>
        <w:t xml:space="preserve">.</w:t>
      </w:r>
    </w:p>
    <w:p>
      <w:pPr>
        <w:pStyle w:val="BodyText0"/>
        <w:spacing w:before="2" w:after="0"/>
        <w:ind w:left="0" w:right="0"/>
        <w:rPr>
          <w:sz w:val="16"/>
          <w:szCs w:val="16"/>
        </w:rPr>
      </w:pPr>
      <w:r>
        <w:rPr>
          <w:sz w:val="16"/>
          <w:szCs w:val="16"/>
        </w:rPr>
        <w:t xml:space="preserve"> </w:t>
      </w:r>
    </w:p>
    <w:p>
      <w:pPr>
        <w:pStyle w:val="Heading1"/>
        <w:keepNext w:val="0"/>
        <w:keepLines w:val="0"/>
        <w:spacing w:before="97"/>
        <w:ind w:left="351" w:right="0"/>
        <w:rPr>
          <w:b w:val="0"/>
          <w:bCs w:val="0"/>
          <w:sz w:val="24"/>
          <w:szCs w:val="24"/>
        </w:rPr>
      </w:pPr>
      <w:r>
        <w:rPr>
          <w:i w:val="0"/>
          <w:strike w:val="0"/>
          <w:color w:val="auto"/>
          <w:u w:val="none"/>
        </w:rPr>
        <w:drawing>
          <wp:anchor simplePos="0" relativeHeight="251661312" behindDoc="0" locked="0" layoutInCell="1" allowOverlap="1">
            <wp:simplePos x="0" y="0"/>
            <wp:positionH relativeFrom="page">
              <wp:posOffset>528955</wp:posOffset>
            </wp:positionH>
            <wp:positionV relativeFrom="paragraph">
              <wp:posOffset>301625</wp:posOffset>
            </wp:positionV>
            <wp:extent cx="5791200" cy="19050"/>
            <wp:wrapTopAndBottom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9718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 w:val="0"/>
          <w:strike w:val="0"/>
          <w:color w:val="auto"/>
          <w:u w:val="none"/>
        </w:rPr>
        <w:br/>
      </w:r>
      <w:r>
        <w:rPr>
          <w:i w:val="0"/>
          <w:color w:val="093653"/>
        </w:rPr>
        <w:t xml:space="preserve">Compétences</w:t>
      </w:r>
    </w:p>
    <w:p>
      <w:pPr>
        <w:pStyle w:val="BodyText0"/>
        <w:spacing w:before="1" w:after="0"/>
        <w:ind w:left="0" w:right="0"/>
        <w:rPr>
          <w:sz w:val="14"/>
          <w:szCs w:val="14"/>
        </w:rPr>
      </w:pPr>
      <w:r>
        <w:rPr>
          <w:sz w:val="14"/>
          <w:szCs w:val="14"/>
        </w:rPr>
        <w:t xml:space="preserve"> </w:t>
      </w:r>
    </w:p>
    <w:tbl>
      <w:tblPr>
        <w:tblStyle w:val="NormalTable"/>
        <w:tblInd w:w="119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963"/>
        <w:gridCol w:w="6946"/>
      </w:tblGrid>
      <w:tr>
        <w:tblPrEx>
          <w:tblInd w:w="119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44"/>
        </w:trPr>
        <w:tc>
          <w:tcPr>
            <w:tcW w:w="2161" w:type="dxa"/>
            <w:tcBorders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73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Dataviz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&amp; Reporting</w:t>
            </w:r>
          </w:p>
        </w:tc>
        <w:tc>
          <w:tcPr>
            <w:tcW w:w="6930" w:type="dxa"/>
            <w:tcBorders>
              <w:left w:val="single" w:sz="8" w:space="0" w:color="FFFFFF"/>
              <w:bottom w:val="single" w:sz="12" w:space="0" w:color="FFFFFF"/>
            </w:tcBorders>
            <w:noWrap w:val="0"/>
            <w:tcMar>
              <w:top w:w="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 BI (DAX, data modeling, RLS)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br/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v2020 (couche sémantique,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ossiers, sécurité)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58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ETL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&amp;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Orchestration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58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Azure Data Factory | SSIS | Talend | Apache Airflow | DBT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58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Bases de données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58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SQL Server | Azure Synapse Analytics | Snowflake | Redshift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58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Langages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58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SQL | DAX |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Python | PowerShell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58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CI/CD &amp;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Outils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58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Azure DevOps | GitLab | Confluence | JIRA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 xml:space="preserve"> 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  <w:t xml:space="preserve"> 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60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Fonctionnel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60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Recueil de besoin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30"/>
        </w:trPr>
        <w:tc>
          <w:tcPr>
            <w:tcW w:w="2161" w:type="dxa"/>
            <w:tcBorders>
              <w:top w:val="single" w:sz="12" w:space="0" w:color="FFFFFF"/>
              <w:bottom w:val="single" w:sz="12" w:space="0" w:color="FFFFFF"/>
              <w:right w:val="single" w:sz="8" w:space="0" w:color="FFFFFF"/>
            </w:tcBorders>
            <w:shd w:val="clear" w:color="auto" w:fill="F5F5F5"/>
            <w:noWrap w:val="0"/>
            <w:tcMar>
              <w:top w:w="15" w:type="dxa"/>
              <w:left w:w="5" w:type="dxa"/>
              <w:bottom w:w="15" w:type="dxa"/>
              <w:right w:w="10" w:type="dxa"/>
            </w:tcMar>
            <w:vAlign w:val="top"/>
          </w:tcPr>
          <w:p>
            <w:pPr>
              <w:pStyle w:val="TableParagraph"/>
              <w:spacing w:before="60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Méthodologie</w:t>
            </w:r>
          </w:p>
        </w:tc>
        <w:tc>
          <w:tcPr>
            <w:tcW w:w="6930" w:type="dxa"/>
            <w:tcBorders>
              <w:top w:val="single" w:sz="12" w:space="0" w:color="FFFFFF"/>
              <w:left w:val="single" w:sz="8" w:space="0" w:color="FFFFFF"/>
              <w:bottom w:val="single" w:sz="12" w:space="0" w:color="FFFFFF"/>
            </w:tcBorders>
            <w:noWrap w:val="0"/>
            <w:tcMar>
              <w:top w:w="15" w:type="dxa"/>
              <w:left w:w="10" w:type="dxa"/>
              <w:bottom w:w="15" w:type="dxa"/>
              <w:right w:w="5" w:type="dxa"/>
            </w:tcMar>
            <w:vAlign w:val="top"/>
          </w:tcPr>
          <w:p>
            <w:pPr>
              <w:pStyle w:val="TableParagraph"/>
              <w:spacing w:before="60" w:after="0"/>
              <w:ind w:left="139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Agile/Scrum, Forfait, Centre de Service</w:t>
            </w:r>
          </w:p>
        </w:tc>
      </w:tr>
    </w:tbl>
    <w:p>
      <w:pPr>
        <w:pStyle w:val="BodyText0"/>
        <w:spacing w:before="0" w:after="0"/>
        <w:ind w:left="0" w:right="0"/>
        <w:rPr>
          <w:sz w:val="28"/>
          <w:szCs w:val="28"/>
        </w:rPr>
      </w:pPr>
      <w:r>
        <w:rPr>
          <w:sz w:val="28"/>
          <w:szCs w:val="28"/>
        </w:rPr>
        <w:t xml:space="preserve"> </w:t>
      </w:r>
    </w:p>
    <w:p>
      <w:pPr>
        <w:pStyle w:val="p"/>
        <w:spacing w:before="243" w:after="0"/>
        <w:ind w:left="351" w:right="0"/>
        <w:rPr>
          <w:sz w:val="24"/>
          <w:szCs w:val="24"/>
        </w:rPr>
      </w:pPr>
      <w:r>
        <w:rPr>
          <w:color w:val="093653"/>
          <w:sz w:val="24"/>
          <w:szCs w:val="24"/>
        </w:rPr>
        <w:t xml:space="preserve">Expériences</w:t>
      </w:r>
      <w:r>
        <w:rPr>
          <w:color w:val="093653"/>
          <w:sz w:val="24"/>
          <w:szCs w:val="24"/>
        </w:rPr>
        <w:t xml:space="preserve"> - </w:t>
      </w:r>
      <w:r>
        <w:rPr>
          <w:color w:val="093653"/>
          <w:sz w:val="24"/>
          <w:szCs w:val="24"/>
        </w:rPr>
        <w:t xml:space="preserve">Clés</w:t>
      </w:r>
    </w:p>
    <w:p>
      <w:pPr>
        <w:pStyle w:val="BodyText0"/>
        <w:spacing w:before="8" w:after="0"/>
        <w:ind w:left="0" w:right="0"/>
        <w:rPr>
          <w:sz w:val="6"/>
          <w:szCs w:val="6"/>
        </w:rPr>
      </w:pPr>
      <w:r>
        <w:rPr>
          <w:sz w:val="6"/>
          <w:szCs w:val="6"/>
        </w:rPr>
        <w:t xml:space="preserve"> </w:t>
      </w:r>
    </w:p>
    <w:tbl>
      <w:tblPr>
        <w:tblStyle w:val="NormalTable"/>
        <w:tblInd w:w="119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4029"/>
        <w:gridCol w:w="16"/>
        <w:gridCol w:w="4865"/>
      </w:tblGrid>
      <w:tr>
        <w:tblPrEx>
          <w:tblInd w:w="119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084" w:type="dxa"/>
            <w:shd w:val="clear" w:color="auto" w:fill="0D446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8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BI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Azure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/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Powerbi</w:t>
            </w:r>
          </w:p>
        </w:tc>
        <w:tc>
          <w:tcPr>
            <w:tcW w:w="4996" w:type="dxa"/>
            <w:gridSpan w:val="2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8" w:after="0"/>
              <w:ind w:left="0" w:right="125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Excel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i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a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La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Rochelle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Juin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5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Sept.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2025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Audit et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migration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d’une nouvelle plateforme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BI (Azure Synapse, ADF,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Powerbi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139" w:type="dxa"/>
            <w:gridSpan w:val="2"/>
            <w:shd w:val="clear" w:color="auto" w:fill="244061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8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 SSIS/SSAS/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Powerbi</w:t>
            </w:r>
          </w:p>
        </w:tc>
        <w:tc>
          <w:tcPr>
            <w:tcW w:w="4941" w:type="dxa"/>
            <w:shd w:val="clear" w:color="auto" w:fill="00B0F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8" w:after="0"/>
              <w:ind w:left="0" w:right="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Toyota France, Vaucresson,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Janv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2025 – Mai 2025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Développement de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dashboard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Powerbi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sur un projet au forfait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084" w:type="dxa"/>
            <w:shd w:val="clear" w:color="auto" w:fill="0D446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9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 BI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MicroStrategy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&amp;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Power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BI</w:t>
            </w:r>
          </w:p>
        </w:tc>
        <w:tc>
          <w:tcPr>
            <w:tcW w:w="4996" w:type="dxa"/>
            <w:gridSpan w:val="2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9" w:after="0"/>
              <w:ind w:left="0" w:right="13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Astra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Z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eneca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La Défense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2022 et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2025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Intervention en Centre de Service.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Analyse et Développements de nouveaux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reporting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sur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PowerBI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084" w:type="dxa"/>
            <w:shd w:val="clear" w:color="auto" w:fill="0D446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0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BI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Micro Strategy &amp;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Powerbi</w:t>
            </w:r>
          </w:p>
        </w:tc>
        <w:tc>
          <w:tcPr>
            <w:tcW w:w="4996" w:type="dxa"/>
            <w:gridSpan w:val="2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0" w:after="0"/>
              <w:ind w:left="0" w:right="13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SEPPIC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La Garenne-Colombe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Janv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3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–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 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Nov.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202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4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Migration de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vers Power BI Premium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(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+30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dashboards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)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Mise en place de pipelines de données et CI/CD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084" w:type="dxa"/>
            <w:shd w:val="clear" w:color="auto" w:fill="0D446A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1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BI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Azure/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Power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BI</w:t>
            </w:r>
          </w:p>
        </w:tc>
        <w:tc>
          <w:tcPr>
            <w:tcW w:w="4996" w:type="dxa"/>
            <w:gridSpan w:val="2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1" w:after="0"/>
              <w:ind w:left="0" w:right="13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Exertis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Paris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Oct. – Déc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 2022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Reprise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d’un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Data Portal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et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Monitoring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du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DWH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(Azure Synapse,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Powerbi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134" w:type="dxa"/>
            <w:gridSpan w:val="2"/>
            <w:shd w:val="clear" w:color="auto" w:fill="244061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8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 BI SSIS &amp;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Micro Strategy</w:t>
            </w:r>
          </w:p>
        </w:tc>
        <w:tc>
          <w:tcPr>
            <w:tcW w:w="4946" w:type="dxa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1" w:after="0"/>
              <w:ind w:left="145" w:right="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Clair Group, Paris, 2022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Enrichissement d’une nouvelle architecture BI (SSIS,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Monday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API)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4134" w:type="dxa"/>
            <w:gridSpan w:val="2"/>
            <w:shd w:val="clear" w:color="auto" w:fill="244061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1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Consultante Talend &amp; </w:t>
            </w: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Micro Strategy</w:t>
            </w:r>
          </w:p>
        </w:tc>
        <w:tc>
          <w:tcPr>
            <w:tcW w:w="4946" w:type="dxa"/>
            <w:shd w:val="clear" w:color="auto" w:fill="00AEE0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81" w:after="0"/>
              <w:ind w:left="145" w:right="0"/>
              <w:jc w:val="right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FFFFFF"/>
                <w:sz w:val="18"/>
                <w:szCs w:val="18"/>
              </w:rPr>
              <w:t xml:space="preserve">CCR, Paris, 2022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30"/>
        </w:trPr>
        <w:tc>
          <w:tcPr>
            <w:tcW w:w="9080" w:type="dxa"/>
            <w:gridSpan w:val="3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Migration de Tableau vers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</w:p>
        </w:tc>
      </w:tr>
    </w:tbl>
    <w:p>
      <w:pPr>
        <w:rPr>
          <w:sz w:val="6"/>
          <w:szCs w:val="6"/>
        </w:rPr>
        <w:sectPr>
          <w:type w:val="continuous"/>
          <w:pgSz w:w="11907" w:h="16839"/>
          <w:pgMar w:top="1440" w:right="1440" w:bottom="1440" w:left="1440" w:header="708" w:footer="708" w:gutter="0"/>
          <w:titlePg/>
        </w:sectPr>
      </w:pPr>
    </w:p>
    <w:p>
      <w:pPr>
        <w:pStyle w:val="p"/>
        <w:spacing w:before="80" w:after="0"/>
        <w:ind w:left="351" w:right="0"/>
        <w:rPr>
          <w:sz w:val="24"/>
          <w:szCs w:val="24"/>
        </w:rPr>
      </w:pPr>
      <w:r>
        <w:rPr>
          <w:color w:val="093653"/>
          <w:sz w:val="24"/>
          <w:szCs w:val="24"/>
        </w:rPr>
        <w:t xml:space="preserve"> </w:t>
      </w:r>
    </w:p>
    <w:p>
      <w:pPr>
        <w:pStyle w:val="p"/>
        <w:spacing w:before="80" w:after="0"/>
        <w:ind w:left="351" w:right="0"/>
        <w:rPr>
          <w:sz w:val="24"/>
          <w:szCs w:val="24"/>
        </w:rPr>
      </w:pPr>
      <w:r>
        <w:rPr>
          <w:strike w:val="0"/>
          <w:sz w:val="24"/>
          <w:szCs w:val="24"/>
          <w:u w:val="none"/>
        </w:rPr>
        <w:drawing>
          <wp:anchor simplePos="0" relativeHeight="251662336" behindDoc="0" locked="0" layoutInCell="1" allowOverlap="1">
            <wp:simplePos x="0" y="0"/>
            <wp:positionH relativeFrom="page">
              <wp:posOffset>528955</wp:posOffset>
            </wp:positionH>
            <wp:positionV relativeFrom="paragraph">
              <wp:posOffset>294005</wp:posOffset>
            </wp:positionV>
            <wp:extent cx="5791200" cy="19050"/>
            <wp:wrapTopAndBottom/>
            <wp:docPr id="10000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645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trike w:val="0"/>
          <w:sz w:val="24"/>
          <w:szCs w:val="24"/>
          <w:u w:val="none"/>
        </w:rPr>
        <w:br/>
      </w:r>
      <w:bookmarkStart w:id="1" w:name="Diapositive_2"/>
      <w:bookmarkEnd w:id="1"/>
      <w:r>
        <w:rPr>
          <w:color w:val="093653"/>
          <w:sz w:val="24"/>
          <w:szCs w:val="24"/>
        </w:rPr>
        <w:t xml:space="preserve">Formations</w:t>
      </w:r>
    </w:p>
    <w:p>
      <w:pPr>
        <w:pStyle w:val="BodyText0"/>
        <w:spacing w:before="0" w:after="0"/>
        <w:ind w:left="0" w:right="0"/>
        <w:rPr>
          <w:sz w:val="11"/>
          <w:szCs w:val="11"/>
        </w:rPr>
      </w:pPr>
      <w:r>
        <w:rPr>
          <w:sz w:val="11"/>
          <w:szCs w:val="11"/>
        </w:rPr>
        <w:t xml:space="preserve"> 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Certification </w:t>
      </w:r>
      <w:r>
        <w:rPr>
          <w:b/>
          <w:bCs/>
        </w:rPr>
        <w:t xml:space="preserve">Microsoft Power BI PL-300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Certification </w:t>
      </w:r>
      <w:r>
        <w:rPr>
          <w:b/>
          <w:bCs/>
        </w:rPr>
        <w:t xml:space="preserve">Micro Strategy Departmental Analyst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UV NRJBI : </w:t>
      </w:r>
      <w:r>
        <w:rPr>
          <w:b/>
          <w:bCs/>
        </w:rPr>
        <w:t xml:space="preserve">Snowflake</w:t>
      </w:r>
      <w:r>
        <w:t xml:space="preserve"> Best Practice, </w:t>
      </w:r>
      <w:r>
        <w:rPr>
          <w:b/>
          <w:bCs/>
        </w:rPr>
        <w:t xml:space="preserve">DBT</w:t>
      </w:r>
      <w:r>
        <w:t xml:space="preserve"> User Level</w:t>
      </w:r>
      <w:r>
        <w:t xml:space="preserve">, </w:t>
      </w:r>
      <w:r>
        <w:rPr>
          <w:b/>
          <w:bCs/>
        </w:rPr>
        <w:t xml:space="preserve">Talaxie</w:t>
      </w:r>
      <w:r>
        <w:rPr>
          <w:b/>
          <w:bCs/>
        </w:rPr>
        <w:t xml:space="preserve"> </w:t>
      </w:r>
      <w:r>
        <w:t xml:space="preserve">(Fork Talend Open Studio)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Diplôme d’ingénieur IMT Mines Albi – spécialité Bio-Santé-Ingénierie (2020)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Échange universitaire : </w:t>
      </w:r>
      <w:r>
        <w:t xml:space="preserve">Keio</w:t>
      </w:r>
      <w:r>
        <w:t xml:space="preserve"> </w:t>
      </w:r>
      <w:r>
        <w:t xml:space="preserve">University</w:t>
      </w:r>
      <w:r>
        <w:t xml:space="preserve">, Tokyo (2018–2019)</w:t>
      </w:r>
    </w:p>
    <w:p>
      <w:pPr>
        <w:pStyle w:val="BodyText0"/>
        <w:numPr>
          <w:ilvl w:val="0"/>
          <w:numId w:val="3"/>
        </w:numPr>
        <w:pBdr>
          <w:left w:val="none" w:sz="0" w:space="8" w:color="auto"/>
        </w:pBdr>
        <w:spacing w:before="0" w:after="0" w:line="276" w:lineRule="auto"/>
        <w:ind w:left="720" w:right="0" w:hanging="351"/>
        <w:jc w:val="left"/>
        <w:rPr>
          <w:rFonts w:ascii="Times New Roman" w:eastAsia="Times New Roman" w:hAnsi="Times New Roman" w:cs="Times New Roman"/>
          <w:sz w:val="18"/>
          <w:szCs w:val="18"/>
        </w:rPr>
      </w:pPr>
      <w:r>
        <w:t xml:space="preserve">Classe préparatoire MPSI/PSI (2015–2017)</w:t>
      </w:r>
    </w:p>
    <w:p>
      <w:pPr>
        <w:pStyle w:val="BodyText0"/>
        <w:spacing w:before="0" w:after="0"/>
        <w:ind w:left="0" w:right="0"/>
        <w:rPr>
          <w:sz w:val="20"/>
          <w:szCs w:val="20"/>
        </w:rPr>
      </w:pPr>
      <w:r>
        <w:rPr>
          <w:sz w:val="20"/>
          <w:szCs w:val="20"/>
        </w:rPr>
        <w:t xml:space="preserve"> </w:t>
      </w:r>
    </w:p>
    <w:p>
      <w:pPr>
        <w:pStyle w:val="Heading1"/>
        <w:keepNext w:val="0"/>
        <w:keepLines w:val="0"/>
        <w:spacing w:before="242"/>
        <w:ind w:left="351" w:right="0"/>
        <w:rPr>
          <w:b w:val="0"/>
          <w:bCs w:val="0"/>
          <w:sz w:val="24"/>
          <w:szCs w:val="24"/>
        </w:rPr>
      </w:pPr>
      <w:r>
        <w:rPr>
          <w:i w:val="0"/>
          <w:color w:val="093653"/>
        </w:rPr>
        <w:t xml:space="preserve">Détail</w:t>
      </w:r>
      <w:r>
        <w:rPr>
          <w:i w:val="0"/>
          <w:color w:val="093653"/>
        </w:rPr>
        <w:t xml:space="preserve">s</w:t>
      </w:r>
      <w:r>
        <w:rPr>
          <w:i w:val="0"/>
          <w:color w:val="093653"/>
        </w:rPr>
        <w:t xml:space="preserve"> des missions</w:t>
      </w:r>
    </w:p>
    <w:p>
      <w:pPr>
        <w:pStyle w:val="BodyText0"/>
        <w:spacing w:before="3" w:after="0"/>
        <w:ind w:left="0" w:right="0"/>
        <w:rPr>
          <w:sz w:val="7"/>
          <w:szCs w:val="7"/>
        </w:rPr>
      </w:pPr>
      <w:r>
        <w:rPr>
          <w:sz w:val="7"/>
          <w:szCs w:val="7"/>
        </w:rPr>
        <w:t xml:space="preserve"> </w:t>
      </w:r>
    </w:p>
    <w:tbl>
      <w:tblPr>
        <w:tblStyle w:val="NormalTable"/>
        <w:tblInd w:w="114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82"/>
        <w:gridCol w:w="2840"/>
        <w:gridCol w:w="1342"/>
        <w:gridCol w:w="3659"/>
      </w:tblGrid>
      <w:tr>
        <w:tblPrEx>
          <w:tblInd w:w="114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799"/>
        </w:trPr>
        <w:tc>
          <w:tcPr>
            <w:tcW w:w="9085" w:type="dxa"/>
            <w:gridSpan w:val="4"/>
            <w:tcBorders>
              <w:top w:val="single" w:sz="12" w:space="0" w:color="252525"/>
            </w:tcBorders>
            <w:noWrap w:val="0"/>
            <w:tcMar>
              <w:top w:w="1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6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</w:pPr>
            <w:bookmarkStart w:id="2" w:name="_Hlk211509835"/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30"/>
                <w:szCs w:val="30"/>
              </w:rPr>
              <w:t xml:space="preserve"> </w:t>
            </w:r>
          </w:p>
          <w:tbl>
            <w:tblPr>
              <w:tblStyle w:val="NormalTable"/>
              <w:tblInd w:w="108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069"/>
              <w:gridCol w:w="2806"/>
              <w:gridCol w:w="1321"/>
              <w:gridCol w:w="3609"/>
            </w:tblGrid>
            <w:tr>
              <w:tblPrEx>
                <w:tblInd w:w="108" w:type="dxa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453"/>
              </w:trPr>
              <w:tc>
                <w:tcPr>
                  <w:tcW w:w="9086" w:type="dxa"/>
                  <w:gridSpan w:val="4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tbl>
                  <w:tblPr>
                    <w:tblStyle w:val="NormalTable"/>
                    <w:tblW w:w="9086" w:type="dxa"/>
                    <w:tblInd w:w="108" w:type="dxa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5E0"/>
                  </w:tblPr>
                  <w:tblGrid>
                    <w:gridCol w:w="1107"/>
                    <w:gridCol w:w="2893"/>
                    <w:gridCol w:w="1367"/>
                    <w:gridCol w:w="3721"/>
                  </w:tblGrid>
                  <w:tr>
                    <w:tblPrEx>
                      <w:tblW w:w="9086" w:type="dxa"/>
                      <w:tblInd w:w="108" w:type="dxa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453"/>
                    </w:trPr>
                    <w:tc>
                      <w:tcPr>
                        <w:tcW w:w="9086" w:type="dxa"/>
                        <w:gridSpan w:val="4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1" w:after="240"/>
                          <w:ind w:left="145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28"/>
                            <w:szCs w:val="28"/>
                          </w:rPr>
                        </w:pPr>
                        <w:bookmarkStart w:id="3" w:name="_Hlk211510060"/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AEE0"/>
                            <w:sz w:val="28"/>
                            <w:szCs w:val="28"/>
                          </w:rPr>
                          <w:t xml:space="preserve">ASTRAZENECA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356"/>
                    </w:trPr>
                    <w:tc>
                      <w:tcPr>
                        <w:tcW w:w="1098" w:type="dxa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69" w:after="0"/>
                          <w:ind w:left="145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Fonction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 :</w:t>
                        </w:r>
                      </w:p>
                    </w:tc>
                    <w:tc>
                      <w:tcPr>
                        <w:tcW w:w="7988" w:type="dxa"/>
                        <w:gridSpan w:val="3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69" w:after="0"/>
                          <w:ind w:left="160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Consultant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 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BI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 Power BI (Centre de Service)</w:t>
                        </w:r>
                      </w:p>
                    </w:tc>
                  </w:tr>
                  <w:tr>
                    <w:tblPrEx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  <w:tblLook w:val="05E0"/>
                    </w:tblPrEx>
                    <w:trPr>
                      <w:trHeight w:val="363"/>
                    </w:trPr>
                    <w:tc>
                      <w:tcPr>
                        <w:tcW w:w="1098" w:type="dxa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73" w:after="0"/>
                          <w:ind w:left="145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Date :</w:t>
                        </w:r>
                      </w:p>
                    </w:tc>
                    <w:tc>
                      <w:tcPr>
                        <w:tcW w:w="2898" w:type="dxa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73" w:after="0"/>
                          <w:ind w:left="160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Sept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.</w:t>
                        </w: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 2025</w:t>
                        </w:r>
                      </w:p>
                    </w:tc>
                    <w:tc>
                      <w:tcPr>
                        <w:tcW w:w="1359" w:type="dxa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73" w:after="0"/>
                          <w:ind w:left="698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Lieu :</w:t>
                        </w:r>
                      </w:p>
                    </w:tc>
                    <w:tc>
                      <w:tcPr>
                        <w:tcW w:w="3731" w:type="dxa"/>
                        <w:shd w:val="clear" w:color="auto" w:fill="F5F5F5"/>
                        <w:noWrap w:val="0"/>
                        <w:tcMar>
                          <w:top w:w="5" w:type="dxa"/>
                          <w:left w:w="5" w:type="dxa"/>
                          <w:bottom w:w="5" w:type="dxa"/>
                          <w:right w:w="5" w:type="dxa"/>
                        </w:tcMar>
                        <w:vAlign w:val="top"/>
                      </w:tcPr>
                      <w:p>
                        <w:pPr>
                          <w:pStyle w:val="TableParagraph"/>
                          <w:spacing w:before="73" w:after="0"/>
                          <w:ind w:left="227" w:right="0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8"/>
                            <w:szCs w:val="18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252525"/>
                            <w:sz w:val="18"/>
                            <w:szCs w:val="18"/>
                          </w:rPr>
                          <w:t xml:space="preserve">Paris</w:t>
                        </w:r>
                      </w:p>
                    </w:tc>
                  </w:tr>
                </w:tbl>
                <w:p>
                  <w:pPr>
                    <w:pStyle w:val="BodyText0"/>
                    <w:spacing w:before="0" w:after="0"/>
                    <w:ind w:left="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7"/>
                      <w:szCs w:val="17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7"/>
                      <w:szCs w:val="17"/>
                    </w:rPr>
                    <w:t xml:space="preserve"> </w:t>
                  </w:r>
                </w:p>
                <w:p>
                  <w:pPr>
                    <w:pStyle w:val="p"/>
                    <w:spacing w:before="98" w:after="0" w:line="252" w:lineRule="auto"/>
                    <w:ind w:left="212" w:right="666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Mission en Centre de Service – 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Développement de 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dashboards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Stratégiques pour les Responsables Grands Comptes</w:t>
                  </w:r>
                  <w:r>
                    <w:rPr>
                      <w:b/>
                      <w:bCs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et mise en place d’un portail d’applications</w:t>
                  </w:r>
                </w:p>
                <w:p>
                  <w:pPr>
                    <w:pStyle w:val="p"/>
                    <w:spacing w:before="0" w:after="0"/>
                    <w:ind w:left="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  <w:t xml:space="preserve"> </w:t>
                  </w:r>
                </w:p>
                <w:p>
                  <w:pPr>
                    <w:pStyle w:val="ListParagraph0"/>
                    <w:spacing w:before="0" w:after="0" w:line="276" w:lineRule="auto"/>
                    <w:ind w:left="820" w:right="1080"/>
                    <w:jc w:val="both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Développement de tableaux de bord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Powerbi</w:t>
                  </w:r>
                </w:p>
                <w:p>
                  <w:pPr>
                    <w:pStyle w:val="ListParagraph0"/>
                    <w:spacing w:before="0" w:after="0" w:line="276" w:lineRule="auto"/>
                    <w:ind w:left="820" w:right="1080"/>
                    <w:jc w:val="both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Déploiement en UAT et accompagnement des utilisateurs sur la phase de recette</w:t>
                  </w:r>
                </w:p>
                <w:p>
                  <w:pPr>
                    <w:pStyle w:val="ListParagraph0"/>
                    <w:spacing w:before="0" w:after="0" w:line="276" w:lineRule="auto"/>
                    <w:ind w:left="820" w:right="1080"/>
                    <w:jc w:val="both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Rédaction de la documentation technique</w:t>
                  </w:r>
                </w:p>
                <w:p>
                  <w:pPr>
                    <w:pStyle w:val="BodyText0"/>
                    <w:spacing w:before="5" w:after="0"/>
                    <w:ind w:left="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7"/>
                      <w:szCs w:val="17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7"/>
                      <w:szCs w:val="17"/>
                    </w:rPr>
                    <w:t xml:space="preserve"> </w:t>
                  </w:r>
                </w:p>
                <w:p>
                  <w:pPr>
                    <w:pStyle w:val="Heading2"/>
                    <w:keepNext w:val="0"/>
                    <w:keepLines w:val="0"/>
                    <w:spacing w:before="0"/>
                    <w:ind w:left="212" w:right="0"/>
                    <w:rPr>
                      <w:b/>
                      <w:bCs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iCs w:val="0"/>
                      <w:smallCaps w:val="0"/>
                      <w:color w:val="252525"/>
                    </w:rPr>
                    <w:t xml:space="preserve">Environnement : </w:t>
                  </w:r>
                  <w:r>
                    <w:rPr>
                      <w:iCs w:val="0"/>
                      <w:smallCaps w:val="0"/>
                      <w:color w:val="252525"/>
                    </w:rPr>
                    <w:t xml:space="preserve">AWS Redshift</w:t>
                  </w:r>
                  <w:r>
                    <w:rPr>
                      <w:iCs w:val="0"/>
                      <w:smallCaps w:val="0"/>
                      <w:color w:val="252525"/>
                    </w:rPr>
                    <w:t xml:space="preserve">, Power BI</w:t>
                  </w:r>
                  <w:r>
                    <w:rPr>
                      <w:iCs w:val="0"/>
                      <w:smallCaps w:val="0"/>
                      <w:color w:val="252525"/>
                    </w:rPr>
                    <w:t xml:space="preserve">, </w:t>
                  </w:r>
                  <w:r>
                    <w:rPr>
                      <w:iCs w:val="0"/>
                      <w:smallCaps w:val="0"/>
                      <w:color w:val="252525"/>
                    </w:rPr>
                    <w:t xml:space="preserve">Micro Strategy</w:t>
                  </w:r>
                </w:p>
                <w:p>
                  <w:pPr>
                    <w:pStyle w:val="TableParagraph"/>
                    <w:spacing w:before="1" w:after="24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AEE0"/>
                      <w:sz w:val="28"/>
                      <w:szCs w:val="28"/>
                    </w:rPr>
                    <w:t xml:space="preserve"> </w:t>
                  </w:r>
                </w:p>
                <w:p>
                  <w:pPr>
                    <w:pStyle w:val="TableParagraph"/>
                    <w:spacing w:before="1" w:after="24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AEE0"/>
                      <w:sz w:val="28"/>
                      <w:szCs w:val="28"/>
                    </w:rPr>
                    <w:t xml:space="preserve">EXCELIA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69" w:after="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Fonction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69" w:after="0"/>
                    <w:ind w:left="16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Consultant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e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BI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(Audit et migration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)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Date :</w:t>
                  </w:r>
                </w:p>
              </w:tc>
              <w:tc>
                <w:tcPr>
                  <w:tcW w:w="28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16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Juin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202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5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–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Septembre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202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5</w:t>
                  </w:r>
                </w:p>
              </w:tc>
              <w:tc>
                <w:tcPr>
                  <w:tcW w:w="1359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698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Lieu :</w:t>
                  </w:r>
                </w:p>
              </w:tc>
              <w:tc>
                <w:tcPr>
                  <w:tcW w:w="3731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227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La Rochelle</w:t>
                  </w:r>
                </w:p>
              </w:tc>
            </w:tr>
          </w:tbl>
          <w:p>
            <w:pPr>
              <w:pStyle w:val="BodyText0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7"/>
                <w:szCs w:val="17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7"/>
                <w:szCs w:val="17"/>
              </w:rPr>
              <w:t xml:space="preserve"> </w:t>
            </w:r>
          </w:p>
          <w:p>
            <w:pPr>
              <w:pStyle w:val="p"/>
              <w:spacing w:before="98" w:after="0" w:line="252" w:lineRule="auto"/>
              <w:ind w:left="212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Audit et refonte complète des processus de traitement de données, en assurant l'intégrité des systèmes de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reporting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existants pour garantir leur maintien opérationnel.</w:t>
            </w:r>
          </w:p>
          <w:p>
            <w:pPr>
              <w:pStyle w:val="p"/>
              <w:spacing w:before="98" w:after="0" w:line="252" w:lineRule="auto"/>
              <w:ind w:left="212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</w:p>
          <w:p>
            <w:pPr>
              <w:pStyle w:val="p"/>
              <w:spacing w:before="0" w:after="0"/>
              <w:ind w:left="212" w:right="663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Audit :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Revue du modèle de données et listes de recommandations.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Analyse d'impact de la migration d'outils source Marketing et Finance : base de données, ETL et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reporting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(analyse technique + échanges fonctionnels sur les nouvelles règles de gestion).</w:t>
            </w:r>
          </w:p>
          <w:p>
            <w:pPr>
              <w:pStyle w:val="p"/>
              <w:spacing w:before="0" w:after="0"/>
              <w:ind w:left="212" w:right="663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</w:p>
          <w:p>
            <w:pPr>
              <w:pStyle w:val="p"/>
              <w:spacing w:before="0" w:after="0"/>
              <w:ind w:left="212" w:right="663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Réalisations techniques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Remise à niveau de l’environnement de développement.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Adaptation de l'alimentation des données en base de données, ETL,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reporting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Création de nouvelles tables, vues, procédures stockées.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Adaptation de tables, vues, procédures stockées existantes.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Adaptation de pipelines Azure data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factory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Adaptation des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datasets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Power BI.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Tests de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non-régression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Rédaction du document d'exploitation.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Déploiement en Recette.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Accompagnement à la recette.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Correction des retours de recette.</w:t>
            </w:r>
          </w:p>
          <w:p>
            <w:pPr>
              <w:pStyle w:val="ListParagraph0"/>
              <w:spacing w:before="0" w:after="0"/>
              <w:ind w:left="932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•</w:t>
            </w:r>
            <w:r>
              <w:rPr>
                <w:rFonts w:ascii="Times New Roman" w:eastAsia="Times New Roman" w:hAnsi="Times New Roman" w:cs="Times New Roman"/>
                <w:b w:val="0"/>
                <w:bCs w:val="0"/>
                <w:i w:val="0"/>
                <w:iCs w:val="0"/>
                <w:smallCaps w:val="0"/>
                <w:color w:val="000000"/>
                <w:sz w:val="14"/>
                <w:szCs w:val="14"/>
              </w:rPr>
              <w:t xml:space="preserve">         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Livraison en production.</w:t>
            </w:r>
          </w:p>
          <w:p>
            <w:pPr>
              <w:pStyle w:val="ListParagraph0"/>
              <w:spacing w:before="0" w:after="0"/>
              <w:ind w:left="932" w:right="663" w:firstLine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</w:p>
          <w:p>
            <w:pPr>
              <w:pStyle w:val="p"/>
              <w:spacing w:before="98" w:after="0" w:line="252" w:lineRule="auto"/>
              <w:ind w:left="212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Environnement technique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: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Azure Synapse, Azure Data Factory, Power BI</w:t>
            </w:r>
            <w:bookmarkEnd w:id="3"/>
          </w:p>
          <w:tbl>
            <w:tblPr>
              <w:tblStyle w:val="NormalTable"/>
              <w:tblInd w:w="108" w:type="dxa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5E0"/>
            </w:tblPr>
            <w:tblGrid>
              <w:gridCol w:w="1095"/>
              <w:gridCol w:w="2793"/>
              <w:gridCol w:w="1352"/>
              <w:gridCol w:w="3577"/>
            </w:tblGrid>
            <w:tr>
              <w:tblPrEx>
                <w:tblInd w:w="108" w:type="dxa"/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453"/>
              </w:trPr>
              <w:tc>
                <w:tcPr>
                  <w:tcW w:w="9086" w:type="dxa"/>
                  <w:gridSpan w:val="4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1" w:after="24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AEE0"/>
                      <w:sz w:val="28"/>
                      <w:szCs w:val="28"/>
                    </w:rPr>
                    <w:t xml:space="preserve"> </w:t>
                  </w:r>
                </w:p>
                <w:p>
                  <w:pPr>
                    <w:pStyle w:val="TableParagraph"/>
                    <w:spacing w:before="1" w:after="24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28"/>
                      <w:szCs w:val="2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00AEE0"/>
                      <w:sz w:val="28"/>
                      <w:szCs w:val="28"/>
                    </w:rPr>
                    <w:t xml:space="preserve">TOYOTA FRANCE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356"/>
              </w:trPr>
              <w:tc>
                <w:tcPr>
                  <w:tcW w:w="10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69" w:after="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Fonction :</w:t>
                  </w:r>
                </w:p>
              </w:tc>
              <w:tc>
                <w:tcPr>
                  <w:tcW w:w="7988" w:type="dxa"/>
                  <w:gridSpan w:val="3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69" w:after="0"/>
                    <w:ind w:left="16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Consultant BI Power BI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–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Projet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au Forfait</w:t>
                  </w:r>
                </w:p>
              </w:tc>
            </w:tr>
            <w:tr>
              <w:tblPrEx>
                <w:tblCellMar>
                  <w:top w:w="0" w:type="dxa"/>
                  <w:left w:w="0" w:type="dxa"/>
                  <w:bottom w:w="0" w:type="dxa"/>
                  <w:right w:w="0" w:type="dxa"/>
                </w:tblCellMar>
                <w:tblLook w:val="05E0"/>
              </w:tblPrEx>
              <w:trPr>
                <w:trHeight w:val="363"/>
              </w:trPr>
              <w:tc>
                <w:tcPr>
                  <w:tcW w:w="10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145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Date :</w:t>
                  </w:r>
                </w:p>
              </w:tc>
              <w:tc>
                <w:tcPr>
                  <w:tcW w:w="2898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160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Janvier 2025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–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 </w:t>
                  </w: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Mai 2025</w:t>
                  </w:r>
                </w:p>
              </w:tc>
              <w:tc>
                <w:tcPr>
                  <w:tcW w:w="1359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698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Lieu :</w:t>
                  </w:r>
                </w:p>
              </w:tc>
              <w:tc>
                <w:tcPr>
                  <w:tcW w:w="3731" w:type="dxa"/>
                  <w:shd w:val="clear" w:color="auto" w:fill="F5F5F5"/>
                  <w:noWrap w:val="0"/>
                  <w:tcMar>
                    <w:top w:w="5" w:type="dxa"/>
                    <w:left w:w="5" w:type="dxa"/>
                    <w:bottom w:w="5" w:type="dxa"/>
                    <w:right w:w="5" w:type="dxa"/>
                  </w:tcMar>
                  <w:vAlign w:val="top"/>
                </w:tcPr>
                <w:p>
                  <w:pPr>
                    <w:pStyle w:val="TableParagraph"/>
                    <w:spacing w:before="73" w:after="0"/>
                    <w:ind w:left="227" w:right="0"/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8"/>
                      <w:szCs w:val="18"/>
                    </w:rPr>
                  </w:pPr>
                  <w:r>
                    <w:rPr>
                      <w:b w:val="0"/>
                      <w:bCs w:val="0"/>
                      <w:i w:val="0"/>
                      <w:iCs w:val="0"/>
                      <w:smallCaps w:val="0"/>
                      <w:color w:val="252525"/>
                      <w:sz w:val="18"/>
                      <w:szCs w:val="18"/>
                    </w:rPr>
                    <w:t xml:space="preserve">Paris</w:t>
                  </w:r>
                </w:p>
              </w:tc>
            </w:tr>
          </w:tbl>
          <w:p>
            <w:pPr>
              <w:pStyle w:val="BodyText0"/>
              <w:spacing w:before="0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7"/>
                <w:szCs w:val="17"/>
              </w:rPr>
            </w:pPr>
            <w:r>
              <w:rPr>
                <w:b/>
                <w:bCs/>
                <w:i w:val="0"/>
                <w:iCs w:val="0"/>
                <w:smallCaps w:val="0"/>
                <w:color w:val="000000"/>
                <w:sz w:val="17"/>
                <w:szCs w:val="17"/>
              </w:rPr>
              <w:t xml:space="preserve"> </w:t>
            </w:r>
          </w:p>
          <w:p>
            <w:pPr>
              <w:pStyle w:val="p"/>
              <w:spacing w:before="98" w:after="0" w:line="252" w:lineRule="auto"/>
              <w:ind w:left="212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Développement d’interfaces de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reporting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incluant des data visualisations personnalisées​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Intervention au sein de l’équipe BI composée de 1 Chef de projet, 1 Data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Engineer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et 2 Développeurs 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Powerbi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.​</w:t>
            </w:r>
          </w:p>
          <w:p>
            <w:pPr>
              <w:pStyle w:val="p"/>
              <w:spacing w:before="98" w:after="0" w:line="252" w:lineRule="auto"/>
              <w:ind w:left="720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</w:p>
          <w:p>
            <w:pPr>
              <w:pStyle w:val="p"/>
              <w:spacing w:before="0" w:after="0"/>
              <w:ind w:left="212" w:right="663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Réalisation technique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 Développement de 3 tableaux de bord (répartition des tâches avec l’équipe)​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Conception des modèles de données optimisés pour le besoin​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Intégration des KPI/Mesures​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Préparation des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datasets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Intégration des objets graphiques à base de SVG​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Finalisation du design​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Echange avec le métier​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Recette unitaire &amp; Peer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review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+ traitement des retours de recette​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Analyse et estimation des nouveaux besoins​</w:t>
            </w:r>
          </w:p>
          <w:p>
            <w:pPr>
              <w:pStyle w:val="p"/>
              <w:spacing w:before="0" w:after="0"/>
              <w:ind w:left="720" w:right="663" w:hanging="36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Rédaction de la documentation​</w:t>
            </w:r>
          </w:p>
          <w:p>
            <w:pPr>
              <w:pStyle w:val="p"/>
              <w:spacing w:before="0" w:after="0"/>
              <w:ind w:left="714" w:right="663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 </w:t>
            </w:r>
          </w:p>
          <w:p>
            <w:pPr>
              <w:pStyle w:val="p"/>
              <w:spacing w:before="98" w:after="0" w:line="252" w:lineRule="auto"/>
              <w:ind w:left="212" w:right="666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Environnement Technique​</w:t>
            </w:r>
            <w:r>
              <w:rPr>
                <w:b/>
                <w:bCs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Power BI Premium​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SQL Server​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SSIS, Azure Data Factory​</w:t>
            </w:r>
          </w:p>
          <w:p>
            <w:pPr>
              <w:pStyle w:val="TableParagraph"/>
              <w:spacing w:before="1" w:after="24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 </w:t>
            </w:r>
          </w:p>
          <w:p>
            <w:pPr>
              <w:pStyle w:val="TableParagraph"/>
              <w:spacing w:before="0" w:after="0"/>
              <w:ind w:left="143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SEPPIC</w:t>
            </w:r>
            <w:bookmarkEnd w:id="2"/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0"/>
        </w:trPr>
        <w:tc>
          <w:tcPr>
            <w:tcW w:w="1096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43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Fonction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Consultante Power BI,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59"/>
        </w:trPr>
        <w:tc>
          <w:tcPr>
            <w:tcW w:w="1096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43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Date :</w:t>
            </w:r>
          </w:p>
        </w:tc>
        <w:tc>
          <w:tcPr>
            <w:tcW w:w="2895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Janvier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2023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Novembre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4</w:t>
            </w:r>
          </w:p>
        </w:tc>
        <w:tc>
          <w:tcPr>
            <w:tcW w:w="1362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702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Lieu :</w:t>
            </w:r>
          </w:p>
        </w:tc>
        <w:tc>
          <w:tcPr>
            <w:tcW w:w="3732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22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La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Garenne-Colombes</w:t>
            </w:r>
          </w:p>
        </w:tc>
      </w:tr>
    </w:tbl>
    <w:p>
      <w:pPr>
        <w:pStyle w:val="BodyText0"/>
        <w:spacing w:before="4" w:after="0"/>
        <w:ind w:left="0" w:right="0"/>
        <w:rPr>
          <w:sz w:val="25"/>
          <w:szCs w:val="25"/>
        </w:rPr>
      </w:pPr>
      <w:r>
        <w:rPr>
          <w:sz w:val="25"/>
          <w:szCs w:val="25"/>
        </w:rPr>
        <w:t xml:space="preserve"> </w:t>
      </w:r>
    </w:p>
    <w:p>
      <w:pPr>
        <w:pStyle w:val="Heading2"/>
        <w:keepNext w:val="0"/>
        <w:keepLines w:val="0"/>
        <w:spacing w:before="1" w:line="252" w:lineRule="auto"/>
        <w:ind w:left="212" w:right="794"/>
        <w:jc w:val="both"/>
        <w:rPr>
          <w:b/>
          <w:bCs/>
          <w:sz w:val="18"/>
          <w:szCs w:val="18"/>
        </w:rPr>
      </w:pPr>
      <w:r>
        <w:rPr>
          <w:i w:val="0"/>
          <w:color w:val="252525"/>
        </w:rPr>
        <w:t xml:space="preserve">Migration de +30 </w:t>
      </w:r>
      <w:r>
        <w:rPr>
          <w:i w:val="0"/>
          <w:color w:val="252525"/>
        </w:rPr>
        <w:t xml:space="preserve">dashboards</w:t>
      </w:r>
      <w:r>
        <w:rPr>
          <w:i w:val="0"/>
          <w:color w:val="252525"/>
        </w:rPr>
        <w:t xml:space="preserve"> de </w:t>
      </w:r>
      <w:r>
        <w:rPr>
          <w:i w:val="0"/>
          <w:color w:val="252525"/>
        </w:rPr>
        <w:t xml:space="preserve">Micro Strategy</w:t>
      </w:r>
      <w:r>
        <w:rPr>
          <w:i w:val="0"/>
          <w:color w:val="252525"/>
        </w:rPr>
        <w:t xml:space="preserve"> vers </w:t>
      </w:r>
      <w:r>
        <w:rPr>
          <w:i w:val="0"/>
          <w:color w:val="252525"/>
        </w:rPr>
        <w:t xml:space="preserve">Power BI</w:t>
      </w:r>
      <w:r>
        <w:rPr>
          <w:i w:val="0"/>
          <w:color w:val="252525"/>
        </w:rPr>
        <w:t xml:space="preserve"> Premium (audit, refonte, optimisation des modèles et ergonomie). </w:t>
      </w:r>
    </w:p>
    <w:p>
      <w:pPr>
        <w:pStyle w:val="Heading2"/>
        <w:keepNext w:val="0"/>
        <w:keepLines w:val="0"/>
        <w:spacing w:before="1" w:line="252" w:lineRule="auto"/>
        <w:ind w:left="212" w:right="794"/>
        <w:jc w:val="both"/>
        <w:rPr>
          <w:b/>
          <w:bCs/>
          <w:sz w:val="18"/>
          <w:szCs w:val="18"/>
        </w:rPr>
      </w:pPr>
      <w:r>
        <w:rPr>
          <w:i w:val="0"/>
          <w:color w:val="252525"/>
        </w:rPr>
        <w:t xml:space="preserve">Gestion de plusieurs projets en parallèle, de la phase de recueil des besoins à la phase de recette, en garantissant le respect des délais et des budgets.</w:t>
      </w:r>
      <w:r>
        <w:rPr>
          <w:i w:val="0"/>
          <w:color w:val="252525"/>
        </w:rPr>
        <w:t xml:space="preserve"> </w:t>
      </w:r>
    </w:p>
    <w:p>
      <w:pPr>
        <w:pStyle w:val="p"/>
        <w:spacing w:before="0" w:after="0"/>
        <w:ind w:left="0" w:right="794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 </w:t>
      </w:r>
    </w:p>
    <w:p>
      <w:pPr>
        <w:pStyle w:val="Heading2"/>
        <w:keepNext w:val="0"/>
        <w:keepLines w:val="0"/>
        <w:spacing w:before="1" w:line="252" w:lineRule="auto"/>
        <w:ind w:left="212" w:right="794"/>
        <w:jc w:val="both"/>
        <w:rPr>
          <w:b/>
          <w:bCs/>
          <w:sz w:val="18"/>
          <w:szCs w:val="18"/>
        </w:rPr>
      </w:pPr>
      <w:r>
        <w:rPr>
          <w:i w:val="0"/>
          <w:color w:val="auto"/>
        </w:rPr>
        <w:t xml:space="preserve">Gestion de projets</w:t>
      </w:r>
      <w:r>
        <w:rPr>
          <w:i w:val="0"/>
          <w:color w:val="auto"/>
        </w:rPr>
        <w:t xml:space="preserve"> BI</w:t>
      </w:r>
      <w:r>
        <w:rPr>
          <w:b w:val="0"/>
          <w:bCs w:val="0"/>
          <w:i w:val="0"/>
          <w:color w:val="auto"/>
        </w:rPr>
        <w:t xml:space="preserve"> (</w:t>
      </w:r>
      <w:r>
        <w:rPr>
          <w:i w:val="0"/>
          <w:color w:val="252525"/>
        </w:rPr>
        <w:t xml:space="preserve">D</w:t>
      </w:r>
      <w:r>
        <w:rPr>
          <w:i w:val="0"/>
          <w:color w:val="252525"/>
        </w:rPr>
        <w:t xml:space="preserve">omaines</w:t>
      </w:r>
      <w:r>
        <w:rPr>
          <w:i w:val="0"/>
          <w:color w:val="252525"/>
        </w:rPr>
        <w:t xml:space="preserve"> métiers</w:t>
      </w:r>
      <w:r>
        <w:rPr>
          <w:i w:val="0"/>
          <w:color w:val="252525"/>
        </w:rPr>
        <w:t xml:space="preserve"> </w:t>
      </w:r>
      <w:r>
        <w:rPr>
          <w:i w:val="0"/>
          <w:color w:val="252525"/>
        </w:rPr>
        <w:t xml:space="preserve">multiples :</w:t>
      </w:r>
      <w:r>
        <w:rPr>
          <w:i w:val="0"/>
          <w:color w:val="252525"/>
        </w:rPr>
        <w:t xml:space="preserve"> </w:t>
      </w:r>
      <w:r>
        <w:rPr>
          <w:i w:val="0"/>
          <w:color w:val="252525"/>
        </w:rPr>
        <w:t xml:space="preserve">Finance, </w:t>
      </w:r>
      <w:r>
        <w:rPr>
          <w:i w:val="0"/>
          <w:color w:val="252525"/>
        </w:rPr>
        <w:t xml:space="preserve">Supply</w:t>
      </w:r>
      <w:r>
        <w:rPr>
          <w:i w:val="0"/>
          <w:color w:val="252525"/>
        </w:rPr>
        <w:t xml:space="preserve"> Chain, Logistique</w:t>
      </w:r>
      <w:r>
        <w:rPr>
          <w:i w:val="0"/>
          <w:color w:val="252525"/>
        </w:rPr>
        <w:t xml:space="preserve">)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Audit des rapports existants sur </w:t>
      </w:r>
      <w:r>
        <w:rPr>
          <w:sz w:val="18"/>
          <w:szCs w:val="18"/>
        </w:rPr>
        <w:t xml:space="preserve">Micro Strategy</w:t>
      </w:r>
      <w:r>
        <w:rPr>
          <w:sz w:val="18"/>
          <w:szCs w:val="18"/>
        </w:rPr>
        <w:t xml:space="preserve"> et migration vers Power BI Premium.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Optimisation des modèles de données pour Power BI, en tirant parti de fonctionnalités avancées de SQL et DAX.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Refonte du design et de l’ergonomie des tableaux de bord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(Approche UI/UX)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Migration des rapports et des tableaux de bord vers Power BI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Recette</w:t>
      </w:r>
      <w:r>
        <w:rPr>
          <w:sz w:val="18"/>
          <w:szCs w:val="18"/>
        </w:rPr>
        <w:t xml:space="preserve"> et validation en environnement DEV/UAT/PROD 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Gestion des comptes utilisateurs et des permissions sur les 2 plateformes :</w:t>
      </w:r>
    </w:p>
    <w:p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Administration des </w:t>
      </w:r>
      <w:r>
        <w:rPr>
          <w:sz w:val="18"/>
          <w:szCs w:val="18"/>
        </w:rPr>
        <w:t xml:space="preserve">ACLs</w:t>
      </w:r>
      <w:r>
        <w:rPr>
          <w:sz w:val="18"/>
          <w:szCs w:val="18"/>
        </w:rPr>
        <w:t xml:space="preserve"> et filtres de sécurité.</w:t>
      </w:r>
    </w:p>
    <w:p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Audits sur </w:t>
      </w:r>
      <w:r>
        <w:rPr>
          <w:sz w:val="18"/>
          <w:szCs w:val="18"/>
        </w:rPr>
        <w:t xml:space="preserve">Micro Strategy</w:t>
      </w:r>
      <w:r>
        <w:rPr>
          <w:sz w:val="18"/>
          <w:szCs w:val="18"/>
        </w:rPr>
        <w:t xml:space="preserve"> License Manager</w:t>
      </w:r>
      <w:r>
        <w:rPr>
          <w:sz w:val="18"/>
          <w:szCs w:val="18"/>
        </w:rPr>
        <w:t xml:space="preserve">.</w:t>
      </w:r>
    </w:p>
    <w:p>
      <w:pPr>
        <w:pStyle w:val="li"/>
        <w:widowControl/>
        <w:numPr>
          <w:ilvl w:val="0"/>
          <w:numId w:val="4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sz w:val="18"/>
          <w:szCs w:val="18"/>
        </w:rPr>
        <w:t xml:space="preserve">Sécurisation des données</w:t>
      </w:r>
      <w:r>
        <w:rPr>
          <w:sz w:val="18"/>
          <w:szCs w:val="18"/>
        </w:rPr>
        <w:t xml:space="preserve"> dans </w:t>
      </w:r>
      <w:r>
        <w:rPr>
          <w:sz w:val="18"/>
          <w:szCs w:val="18"/>
        </w:rPr>
        <w:t xml:space="preserve">Power BI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via Row-</w:t>
      </w:r>
      <w:r>
        <w:rPr>
          <w:b/>
          <w:bCs/>
          <w:sz w:val="18"/>
          <w:szCs w:val="18"/>
        </w:rPr>
        <w:t xml:space="preserve">Level</w:t>
      </w:r>
      <w:r>
        <w:rPr>
          <w:b/>
          <w:bCs/>
          <w:sz w:val="18"/>
          <w:szCs w:val="18"/>
        </w:rPr>
        <w:t xml:space="preserve"> Security (RLS).</w:t>
      </w:r>
    </w:p>
    <w:p>
      <w:pPr>
        <w:pStyle w:val="p"/>
        <w:spacing w:before="0" w:after="0"/>
        <w:ind w:left="0" w:right="79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794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Migration et Optimisation des Rapports </w:t>
      </w:r>
      <w:r>
        <w:rPr>
          <w:b/>
          <w:bCs/>
          <w:sz w:val="18"/>
          <w:szCs w:val="18"/>
        </w:rPr>
        <w:t xml:space="preserve">Micro Strategy</w:t>
      </w:r>
      <w:r>
        <w:rPr>
          <w:b/>
          <w:bCs/>
          <w:sz w:val="18"/>
          <w:szCs w:val="18"/>
        </w:rPr>
        <w:t xml:space="preserve"> vers Power BI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Audit des rapports existants sur </w:t>
      </w:r>
      <w:r>
        <w:rPr>
          <w:sz w:val="18"/>
          <w:szCs w:val="18"/>
        </w:rPr>
        <w:t xml:space="preserve">Micro Strategy</w:t>
      </w:r>
      <w:r>
        <w:rPr>
          <w:sz w:val="18"/>
          <w:szCs w:val="18"/>
        </w:rPr>
        <w:t xml:space="preserve"> et migration vers Power BI Premium.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Optimisation des modèles de données pour Power BI, en tirant parti de fonctionnalités avancées de SQL et DAX.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Refonte du design et de l’ergonomie des tableaux de bord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(Approche UI/UX)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Migration des rapports et des tableaux de bord vers Power BI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Recette</w:t>
      </w:r>
      <w:r>
        <w:rPr>
          <w:sz w:val="18"/>
          <w:szCs w:val="18"/>
        </w:rPr>
        <w:t xml:space="preserve"> et validation en environnement DEV/UAT/PROD </w:t>
      </w:r>
    </w:p>
    <w:p>
      <w:pPr>
        <w:pStyle w:val="p"/>
        <w:widowControl/>
        <w:spacing w:before="0" w:after="0"/>
        <w:ind w:left="720" w:right="794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Formation et accompagnement</w:t>
      </w:r>
      <w:r>
        <w:rPr>
          <w:sz w:val="18"/>
          <w:szCs w:val="18"/>
        </w:rPr>
        <w:t xml:space="preserve"> au changement</w:t>
      </w:r>
      <w:r>
        <w:rPr>
          <w:sz w:val="18"/>
          <w:szCs w:val="18"/>
        </w:rPr>
        <w:t xml:space="preserve"> des utilisateurs dans l’adoption de Power BI</w:t>
      </w:r>
      <w:r>
        <w:rPr>
          <w:sz w:val="18"/>
          <w:szCs w:val="18"/>
        </w:rPr>
        <w:t xml:space="preserve"> :</w:t>
      </w:r>
    </w:p>
    <w:p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Formation sur l’utilisation avancée de Power BI.</w:t>
      </w:r>
    </w:p>
    <w:p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Accompagnement sur la prise en main et l’exploitation des </w:t>
      </w:r>
      <w:r>
        <w:rPr>
          <w:sz w:val="18"/>
          <w:szCs w:val="18"/>
        </w:rPr>
        <w:t xml:space="preserve">dashboards</w:t>
      </w:r>
      <w:r>
        <w:rPr>
          <w:sz w:val="18"/>
          <w:szCs w:val="18"/>
        </w:rPr>
        <w:t xml:space="preserve">.</w:t>
      </w:r>
    </w:p>
    <w:p>
      <w:pPr>
        <w:pStyle w:val="li"/>
        <w:widowControl/>
        <w:numPr>
          <w:ilvl w:val="0"/>
          <w:numId w:val="5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b/>
          <w:bCs/>
          <w:sz w:val="18"/>
          <w:szCs w:val="18"/>
        </w:rPr>
        <w:t xml:space="preserve">Support aux utilisateurs</w:t>
      </w:r>
      <w:r>
        <w:rPr>
          <w:sz w:val="18"/>
          <w:szCs w:val="18"/>
        </w:rPr>
        <w:t xml:space="preserve"> et documentation des bonnes pratiques.</w:t>
      </w:r>
    </w:p>
    <w:p>
      <w:pPr>
        <w:pStyle w:val="p"/>
        <w:widowControl/>
        <w:spacing w:before="0" w:after="0"/>
        <w:ind w:left="0" w:right="794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0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0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Développement de </w:t>
      </w:r>
      <w:r>
        <w:rPr>
          <w:b/>
          <w:bCs/>
          <w:sz w:val="18"/>
          <w:szCs w:val="18"/>
        </w:rPr>
        <w:t xml:space="preserve">5 </w:t>
      </w:r>
      <w:r>
        <w:rPr>
          <w:b/>
          <w:bCs/>
          <w:sz w:val="18"/>
          <w:szCs w:val="18"/>
        </w:rPr>
        <w:t xml:space="preserve">Dashboards</w:t>
      </w:r>
      <w:r>
        <w:rPr>
          <w:b/>
          <w:bCs/>
          <w:sz w:val="18"/>
          <w:szCs w:val="18"/>
        </w:rPr>
        <w:t xml:space="preserve"> Power BI</w:t>
      </w:r>
      <w:r>
        <w:rPr>
          <w:b/>
          <w:bCs/>
          <w:sz w:val="18"/>
          <w:szCs w:val="18"/>
        </w:rPr>
        <w:t xml:space="preserve"> stratégiques</w:t>
      </w:r>
      <w:r>
        <w:rPr>
          <w:b/>
          <w:bCs/>
          <w:sz w:val="18"/>
          <w:szCs w:val="18"/>
        </w:rPr>
        <w:t xml:space="preserve"> pour la </w:t>
      </w:r>
      <w:r>
        <w:rPr>
          <w:b/>
          <w:bCs/>
          <w:sz w:val="18"/>
          <w:szCs w:val="18"/>
        </w:rPr>
        <w:t xml:space="preserve">Supply</w:t>
      </w:r>
      <w:r>
        <w:rPr>
          <w:b/>
          <w:bCs/>
          <w:sz w:val="18"/>
          <w:szCs w:val="18"/>
        </w:rPr>
        <w:t xml:space="preserve"> Chain et la Logistique</w:t>
      </w:r>
    </w:p>
    <w:p>
      <w:pPr>
        <w:pStyle w:val="p"/>
        <w:widowControl/>
        <w:spacing w:before="0" w:after="0"/>
        <w:ind w:left="720" w:right="0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Conception</w:t>
      </w:r>
      <w:r>
        <w:rPr>
          <w:sz w:val="18"/>
          <w:szCs w:val="18"/>
        </w:rPr>
        <w:t xml:space="preserve"> :</w:t>
      </w:r>
    </w:p>
    <w:p>
      <w:pPr>
        <w:pStyle w:val="li"/>
        <w:widowControl/>
        <w:numPr>
          <w:ilvl w:val="0"/>
          <w:numId w:val="6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Analyse des </w:t>
      </w:r>
      <w:r>
        <w:rPr>
          <w:sz w:val="18"/>
          <w:szCs w:val="18"/>
        </w:rPr>
        <w:t xml:space="preserve">dossiers d’expédition et de réception des achats</w:t>
      </w:r>
      <w:r>
        <w:rPr>
          <w:sz w:val="18"/>
          <w:szCs w:val="18"/>
        </w:rPr>
        <w:t xml:space="preserve"> </w:t>
      </w:r>
      <w:r>
        <w:rPr>
          <w:sz w:val="18"/>
          <w:szCs w:val="18"/>
        </w:rPr>
        <w:t xml:space="preserve">:</w:t>
      </w:r>
      <w:r>
        <w:rPr>
          <w:sz w:val="18"/>
          <w:szCs w:val="18"/>
        </w:rPr>
        <w:t xml:space="preserve"> </w:t>
      </w:r>
    </w:p>
    <w:p>
      <w:pPr>
        <w:pStyle w:val="p"/>
        <w:spacing w:before="0" w:after="0"/>
        <w:ind w:left="144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Suivi de l'état des expéditions, des réceptions, et des transferts, </w:t>
      </w:r>
      <w:r>
        <w:rPr>
          <w:sz w:val="18"/>
          <w:szCs w:val="18"/>
        </w:rPr>
        <w:t xml:space="preserve">Objectif</w:t>
      </w:r>
      <w:r>
        <w:rPr>
          <w:sz w:val="18"/>
          <w:szCs w:val="18"/>
        </w:rPr>
        <w:t xml:space="preserve"> </w:t>
      </w:r>
      <w:r>
        <w:rPr>
          <w:sz w:val="18"/>
          <w:szCs w:val="18"/>
        </w:rPr>
        <w:t xml:space="preserve">: </w:t>
      </w:r>
      <w:r>
        <w:rPr>
          <w:sz w:val="18"/>
          <w:szCs w:val="18"/>
        </w:rPr>
        <w:t xml:space="preserve">identifier les retards éventuels et de prendre des mesures correctives. </w:t>
      </w:r>
    </w:p>
    <w:p>
      <w:pPr>
        <w:pStyle w:val="li"/>
        <w:widowControl/>
        <w:numPr>
          <w:ilvl w:val="0"/>
          <w:numId w:val="7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Suivi de la planification et de la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gestion des stocks</w:t>
      </w:r>
      <w:r>
        <w:rPr>
          <w:sz w:val="18"/>
          <w:szCs w:val="18"/>
        </w:rPr>
        <w:t xml:space="preserve"> </w:t>
      </w:r>
      <w:r>
        <w:rPr>
          <w:sz w:val="18"/>
          <w:szCs w:val="18"/>
        </w:rPr>
        <w:t xml:space="preserve">: </w:t>
      </w:r>
    </w:p>
    <w:p>
      <w:pPr>
        <w:pStyle w:val="p"/>
        <w:spacing w:before="0" w:after="0"/>
        <w:ind w:left="144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Suivi des niveaux de stock, identification des ruptures de stock potentielles et prise de mesures pour réapprovisionner les stocks.</w:t>
      </w:r>
    </w:p>
    <w:p>
      <w:pPr>
        <w:pStyle w:val="li"/>
        <w:widowControl/>
        <w:numPr>
          <w:ilvl w:val="0"/>
          <w:numId w:val="8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Intégration d’indicateurs clés comme l</w:t>
      </w:r>
      <w:r>
        <w:rPr>
          <w:sz w:val="18"/>
          <w:szCs w:val="18"/>
        </w:rPr>
        <w:t xml:space="preserve">’OTIF</w:t>
      </w:r>
      <w:r>
        <w:rPr>
          <w:sz w:val="18"/>
          <w:szCs w:val="18"/>
        </w:rPr>
        <w:t xml:space="preserve"> et l’impact RSE.</w:t>
      </w:r>
    </w:p>
    <w:p>
      <w:pPr>
        <w:pStyle w:val="li"/>
        <w:widowControl/>
        <w:numPr>
          <w:ilvl w:val="0"/>
          <w:numId w:val="8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Intégration de design particulier </w:t>
      </w:r>
      <w:r>
        <w:rPr>
          <w:sz w:val="18"/>
          <w:szCs w:val="18"/>
        </w:rPr>
        <w:t xml:space="preserve">(G</w:t>
      </w:r>
      <w:r>
        <w:rPr>
          <w:sz w:val="18"/>
          <w:szCs w:val="18"/>
        </w:rPr>
        <w:t xml:space="preserve">roupes de calculs, signets, alertes, etc.)</w:t>
      </w:r>
      <w:r>
        <w:rPr>
          <w:sz w:val="18"/>
          <w:szCs w:val="18"/>
        </w:rPr>
        <w:t xml:space="preserve"> et de v</w:t>
      </w:r>
      <w:r>
        <w:rPr>
          <w:sz w:val="18"/>
          <w:szCs w:val="18"/>
        </w:rPr>
        <w:t xml:space="preserve">isualisations interactives (cartes, graphiques, tableaux)</w:t>
      </w:r>
    </w:p>
    <w:p>
      <w:pPr>
        <w:pStyle w:val="li"/>
        <w:widowControl/>
        <w:numPr>
          <w:ilvl w:val="0"/>
          <w:numId w:val="8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Design et développement en adéquation avec la </w:t>
      </w:r>
      <w:r>
        <w:rPr>
          <w:sz w:val="18"/>
          <w:szCs w:val="18"/>
        </w:rPr>
        <w:t xml:space="preserve">charte graphique imposée</w:t>
      </w:r>
      <w:r>
        <w:rPr>
          <w:sz w:val="18"/>
          <w:szCs w:val="18"/>
        </w:rPr>
        <w:t xml:space="preserve">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Développement avancé en DAX</w:t>
      </w:r>
      <w:r>
        <w:rPr>
          <w:sz w:val="18"/>
          <w:szCs w:val="18"/>
        </w:rPr>
        <w:t xml:space="preserve"> pour répondre aux besoins métiers spécifiques :</w:t>
      </w:r>
    </w:p>
    <w:p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Calcul </w:t>
      </w:r>
      <w:r>
        <w:rPr>
          <w:sz w:val="18"/>
          <w:szCs w:val="18"/>
        </w:rPr>
        <w:t xml:space="preserve">des stocks dynamiques</w:t>
      </w:r>
      <w:r>
        <w:rPr>
          <w:sz w:val="18"/>
          <w:szCs w:val="18"/>
        </w:rPr>
        <w:t xml:space="preserve"> en fonction des entrées/sorties.</w:t>
      </w:r>
    </w:p>
    <w:p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Estimation des </w:t>
      </w:r>
      <w:r>
        <w:rPr>
          <w:sz w:val="18"/>
          <w:szCs w:val="18"/>
        </w:rPr>
        <w:t xml:space="preserve">délais moyens d’expédition et d’acheminement des marchandises</w:t>
      </w:r>
      <w:r>
        <w:rPr>
          <w:sz w:val="18"/>
          <w:szCs w:val="18"/>
        </w:rPr>
        <w:t xml:space="preserve">.</w:t>
      </w:r>
    </w:p>
    <w:p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Mise en place de </w:t>
      </w:r>
      <w:r>
        <w:rPr>
          <w:sz w:val="18"/>
          <w:szCs w:val="18"/>
        </w:rPr>
        <w:t xml:space="preserve">KPI</w:t>
      </w:r>
      <w:r>
        <w:rPr>
          <w:sz w:val="18"/>
          <w:szCs w:val="18"/>
        </w:rPr>
        <w:t xml:space="preserve"> dynamiques intégrant des paramètres utilisateurs.</w:t>
      </w:r>
    </w:p>
    <w:p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Analyses</w:t>
      </w:r>
      <w:r>
        <w:rPr>
          <w:sz w:val="18"/>
          <w:szCs w:val="18"/>
        </w:rPr>
        <w:t xml:space="preserve"> temporelles avancées (comparaison des ventes sur différentes périodes, identification des tendances saisonnières).</w:t>
      </w:r>
    </w:p>
    <w:p>
      <w:pPr>
        <w:pStyle w:val="li"/>
        <w:widowControl/>
        <w:numPr>
          <w:ilvl w:val="0"/>
          <w:numId w:val="9"/>
        </w:numPr>
        <w:pBdr>
          <w:left w:val="none" w:sz="0" w:space="7" w:color="auto"/>
        </w:pBdr>
        <w:spacing w:before="0" w:after="0"/>
        <w:ind w:left="1440" w:right="706" w:hanging="36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8"/>
          <w:szCs w:val="18"/>
        </w:rPr>
        <w:t xml:space="preserve">Création de tables calculées</w:t>
      </w:r>
      <w:r>
        <w:rPr>
          <w:sz w:val="18"/>
          <w:szCs w:val="18"/>
        </w:rPr>
        <w:t xml:space="preserve"> pour optimiser les performances </w:t>
      </w:r>
      <w:r>
        <w:rPr>
          <w:sz w:val="18"/>
          <w:szCs w:val="18"/>
        </w:rPr>
        <w:t xml:space="preserve">des requêtes DAX</w:t>
      </w:r>
      <w:r>
        <w:rPr>
          <w:sz w:val="18"/>
          <w:szCs w:val="18"/>
        </w:rPr>
        <w:t xml:space="preserve"> et faciliter l'analyse des données.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Réalisation </w:t>
      </w:r>
      <w:r>
        <w:rPr>
          <w:b/>
          <w:bCs/>
          <w:sz w:val="18"/>
          <w:szCs w:val="18"/>
        </w:rPr>
        <w:t xml:space="preserve">des</w:t>
      </w:r>
      <w:r>
        <w:rPr>
          <w:sz w:val="18"/>
          <w:szCs w:val="18"/>
        </w:rPr>
        <w:t xml:space="preserve"> </w:t>
      </w:r>
      <w:r>
        <w:rPr>
          <w:b/>
          <w:bCs/>
          <w:sz w:val="18"/>
          <w:szCs w:val="18"/>
        </w:rPr>
        <w:t xml:space="preserve">tests d'acceptation</w:t>
      </w:r>
      <w:r>
        <w:rPr>
          <w:sz w:val="18"/>
          <w:szCs w:val="18"/>
        </w:rPr>
        <w:t xml:space="preserve"> par les utilisateurs 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Migration des fonctionnalités transactions services vers Power BI</w:t>
      </w:r>
      <w:r>
        <w:rPr>
          <w:b/>
          <w:bCs/>
          <w:sz w:val="18"/>
          <w:szCs w:val="18"/>
        </w:rPr>
        <w:t xml:space="preserve"> </w:t>
      </w:r>
      <w:r>
        <w:rPr>
          <w:b/>
          <w:bCs/>
          <w:sz w:val="18"/>
          <w:szCs w:val="18"/>
        </w:rPr>
        <w:t xml:space="preserve">(réalisation power apps)</w:t>
      </w:r>
    </w:p>
    <w:p>
      <w:pPr>
        <w:pStyle w:val="ListParagraph0"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Intégration de </w:t>
      </w:r>
      <w:r>
        <w:rPr>
          <w:sz w:val="18"/>
          <w:szCs w:val="18"/>
        </w:rPr>
        <w:t xml:space="preserve">Power Apps</w:t>
      </w:r>
      <w:r>
        <w:rPr>
          <w:sz w:val="18"/>
          <w:szCs w:val="18"/>
        </w:rPr>
        <w:t xml:space="preserve"> dans des rapports </w:t>
      </w:r>
      <w:r>
        <w:rPr>
          <w:sz w:val="18"/>
          <w:szCs w:val="18"/>
        </w:rPr>
        <w:t xml:space="preserve">Power BI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(3 écrans</w:t>
      </w:r>
      <w:r>
        <w:rPr>
          <w:sz w:val="18"/>
          <w:szCs w:val="18"/>
        </w:rPr>
        <w:t xml:space="preserve"> </w:t>
      </w:r>
      <w:r>
        <w:rPr>
          <w:sz w:val="18"/>
          <w:szCs w:val="18"/>
        </w:rPr>
        <w:t xml:space="preserve">: visualisation et saisie)</w:t>
      </w:r>
    </w:p>
    <w:p>
      <w:pPr>
        <w:pStyle w:val="ListParagraph0"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Gestion de l'historisation des données lors des modifications, </w:t>
      </w:r>
      <w:r>
        <w:rPr>
          <w:sz w:val="18"/>
          <w:szCs w:val="18"/>
        </w:rPr>
        <w:t xml:space="preserve">simplification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du</w:t>
      </w:r>
      <w:r>
        <w:rPr>
          <w:sz w:val="18"/>
          <w:szCs w:val="18"/>
        </w:rPr>
        <w:t xml:space="preserve"> processus de mise à jour des dates et des statuts</w:t>
      </w:r>
    </w:p>
    <w:p>
      <w:pPr>
        <w:pStyle w:val="ListParagraph0"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Conception d’une base de données historisée sur SQL (dimensions, SCD type 2, tables de faits).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Mise en place de flux de données et automatisation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Automatisation des pipelines </w:t>
      </w:r>
      <w:r>
        <w:rPr>
          <w:sz w:val="18"/>
          <w:szCs w:val="18"/>
        </w:rPr>
        <w:t xml:space="preserve">de données</w:t>
      </w:r>
      <w:r>
        <w:rPr>
          <w:sz w:val="18"/>
          <w:szCs w:val="18"/>
        </w:rPr>
        <w:t xml:space="preserve"> avec </w:t>
      </w:r>
      <w:r>
        <w:rPr>
          <w:sz w:val="18"/>
          <w:szCs w:val="18"/>
        </w:rPr>
        <w:t xml:space="preserve">Azure Data Factory et </w:t>
      </w:r>
      <w:r>
        <w:rPr>
          <w:sz w:val="18"/>
          <w:szCs w:val="18"/>
        </w:rPr>
        <w:t xml:space="preserve">Airflow</w:t>
      </w:r>
      <w:r>
        <w:rPr>
          <w:sz w:val="18"/>
          <w:szCs w:val="18"/>
        </w:rPr>
        <w:t xml:space="preserve"> (Orchestration de workflows de données, utilisation de </w:t>
      </w:r>
      <w:r>
        <w:rPr>
          <w:sz w:val="18"/>
          <w:szCs w:val="18"/>
        </w:rPr>
        <w:t xml:space="preserve">Python et PowerShell).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Surveillance et optimisation </w:t>
      </w:r>
      <w:r>
        <w:rPr>
          <w:b/>
          <w:bCs/>
          <w:sz w:val="18"/>
          <w:szCs w:val="18"/>
        </w:rPr>
        <w:t xml:space="preserve">des flux</w:t>
      </w:r>
      <w:r>
        <w:rPr>
          <w:sz w:val="18"/>
          <w:szCs w:val="18"/>
        </w:rPr>
        <w:t xml:space="preserve"> de données</w:t>
      </w:r>
      <w:r>
        <w:rPr>
          <w:sz w:val="18"/>
          <w:szCs w:val="18"/>
        </w:rPr>
        <w:t xml:space="preserve"> pour garantir une alimentation efficace et fiable des rapports BI.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Documentation des solutions développées,</w:t>
      </w:r>
      <w:r>
        <w:rPr>
          <w:sz w:val="18"/>
          <w:szCs w:val="18"/>
        </w:rPr>
        <w:t xml:space="preserve"> des meilleures pratiques et des procédures pour faciliter la </w:t>
      </w:r>
      <w:r>
        <w:rPr>
          <w:sz w:val="18"/>
          <w:szCs w:val="18"/>
        </w:rPr>
        <w:t xml:space="preserve">maintenance et les mises à jour ultérieures.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Analyse et amélioration continue</w:t>
      </w:r>
      <w:r>
        <w:rPr>
          <w:sz w:val="18"/>
          <w:szCs w:val="18"/>
        </w:rPr>
        <w:t xml:space="preserve"> : Détection des </w:t>
      </w:r>
      <w:r>
        <w:rPr>
          <w:sz w:val="18"/>
          <w:szCs w:val="18"/>
        </w:rPr>
        <w:t xml:space="preserve">axes d'amélioration</w:t>
      </w:r>
      <w:r>
        <w:rPr>
          <w:sz w:val="18"/>
          <w:szCs w:val="18"/>
        </w:rPr>
        <w:t xml:space="preserve"> et proposition de solutions techniques adaptées.</w:t>
      </w:r>
    </w:p>
    <w:p>
      <w:pPr>
        <w:pStyle w:val="p"/>
        <w:widowControl/>
        <w:spacing w:before="0" w:after="0"/>
        <w:ind w:left="720" w:right="706" w:hanging="36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V</w:t>
      </w:r>
      <w:r>
        <w:rPr>
          <w:b/>
          <w:bCs/>
          <w:sz w:val="18"/>
          <w:szCs w:val="18"/>
        </w:rPr>
        <w:t xml:space="preserve">ersioning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et archivage </w:t>
      </w:r>
      <w:r>
        <w:rPr>
          <w:sz w:val="18"/>
          <w:szCs w:val="18"/>
        </w:rPr>
        <w:t xml:space="preserve">des développements sur </w:t>
      </w:r>
      <w:r>
        <w:rPr>
          <w:sz w:val="18"/>
          <w:szCs w:val="18"/>
        </w:rPr>
        <w:t xml:space="preserve">GitLab</w:t>
      </w:r>
      <w:r>
        <w:rPr>
          <w:sz w:val="18"/>
          <w:szCs w:val="18"/>
        </w:rPr>
        <w:t xml:space="preserve"> / Azure DevOps</w:t>
      </w:r>
      <w:r>
        <w:rPr>
          <w:b/>
          <w:bCs/>
          <w:sz w:val="18"/>
          <w:szCs w:val="18"/>
        </w:rPr>
        <w:t xml:space="preserve"> (CI/CD)</w:t>
      </w:r>
      <w:r>
        <w:rPr>
          <w:sz w:val="18"/>
          <w:szCs w:val="18"/>
        </w:rPr>
        <w:t xml:space="preserve">.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706"/>
        <w:jc w:val="both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Environnement </w:t>
      </w:r>
      <w:r>
        <w:rPr>
          <w:b/>
          <w:bCs/>
          <w:sz w:val="18"/>
          <w:szCs w:val="18"/>
        </w:rPr>
        <w:t xml:space="preserve">Technique:</w:t>
      </w:r>
      <w:r>
        <w:rPr>
          <w:b/>
          <w:bCs/>
          <w:sz w:val="18"/>
          <w:szCs w:val="18"/>
        </w:rPr>
        <w:t xml:space="preserve"> </w:t>
      </w:r>
      <w:r>
        <w:rPr>
          <w:sz w:val="18"/>
          <w:szCs w:val="18"/>
        </w:rPr>
        <w:t xml:space="preserve">Power BI</w:t>
      </w:r>
      <w:r>
        <w:rPr>
          <w:sz w:val="18"/>
          <w:szCs w:val="18"/>
        </w:rPr>
        <w:t xml:space="preserve"> Premium, </w:t>
      </w:r>
      <w:r>
        <w:rPr>
          <w:sz w:val="18"/>
          <w:szCs w:val="18"/>
        </w:rPr>
        <w:t xml:space="preserve">Micro Strategy</w:t>
      </w:r>
      <w:r>
        <w:rPr>
          <w:sz w:val="18"/>
          <w:szCs w:val="18"/>
        </w:rPr>
        <w:t xml:space="preserve"> 2020, SQL Server 2016, Azure Synapse Analytics, </w:t>
      </w:r>
      <w:r>
        <w:rPr>
          <w:sz w:val="18"/>
          <w:szCs w:val="18"/>
        </w:rPr>
        <w:t xml:space="preserve">Airflow</w:t>
      </w:r>
      <w:r>
        <w:rPr>
          <w:sz w:val="18"/>
          <w:szCs w:val="18"/>
        </w:rPr>
        <w:t xml:space="preserve">, SSIS, Azure Data Factory, Azure DevOps, </w:t>
      </w:r>
      <w:r>
        <w:rPr>
          <w:sz w:val="18"/>
          <w:szCs w:val="18"/>
        </w:rPr>
        <w:t xml:space="preserve">GitLab</w:t>
      </w:r>
      <w:r>
        <w:rPr>
          <w:sz w:val="18"/>
          <w:szCs w:val="18"/>
        </w:rPr>
        <w:t xml:space="preserve">, DAX, </w:t>
      </w:r>
      <w:r>
        <w:rPr>
          <w:sz w:val="18"/>
          <w:szCs w:val="18"/>
        </w:rPr>
        <w:t xml:space="preserve">Python</w:t>
      </w:r>
      <w:r>
        <w:rPr>
          <w:sz w:val="18"/>
          <w:szCs w:val="18"/>
        </w:rPr>
        <w:t xml:space="preserve">, PowerShell</w:t>
      </w:r>
    </w:p>
    <w:tbl>
      <w:tblPr>
        <w:tblStyle w:val="NormalTable"/>
        <w:tblInd w:w="113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9"/>
        <w:gridCol w:w="2824"/>
        <w:gridCol w:w="1358"/>
        <w:gridCol w:w="3634"/>
      </w:tblGrid>
      <w:tr>
        <w:tblPrEx>
          <w:tblInd w:w="113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53"/>
        </w:trPr>
        <w:tc>
          <w:tcPr>
            <w:tcW w:w="9086" w:type="dxa"/>
            <w:gridSpan w:val="4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1" w:after="24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 </w:t>
            </w:r>
          </w:p>
          <w:p>
            <w:pPr>
              <w:pStyle w:val="TableParagraph"/>
              <w:spacing w:before="1" w:after="24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EXERTIS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56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69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Fonction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8" w:type="dxa"/>
            <w:gridSpan w:val="3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69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Consultant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BI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Power BI (Centre de Service)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3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Date :</w:t>
            </w:r>
          </w:p>
        </w:tc>
        <w:tc>
          <w:tcPr>
            <w:tcW w:w="28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Oct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Déc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2</w:t>
            </w:r>
          </w:p>
        </w:tc>
        <w:tc>
          <w:tcPr>
            <w:tcW w:w="1359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69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Lieu :</w:t>
            </w:r>
          </w:p>
        </w:tc>
        <w:tc>
          <w:tcPr>
            <w:tcW w:w="3731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227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Paris</w:t>
            </w:r>
          </w:p>
        </w:tc>
      </w:tr>
    </w:tbl>
    <w:p>
      <w:pPr>
        <w:pStyle w:val="BodyText0"/>
        <w:spacing w:before="0" w:after="0"/>
        <w:ind w:left="0" w:right="0"/>
        <w:rPr>
          <w:sz w:val="17"/>
          <w:szCs w:val="17"/>
        </w:rPr>
      </w:pPr>
      <w:r>
        <w:rPr>
          <w:b/>
          <w:bCs/>
          <w:sz w:val="17"/>
          <w:szCs w:val="17"/>
        </w:rPr>
        <w:t xml:space="preserve"> </w:t>
      </w:r>
    </w:p>
    <w:p>
      <w:pPr>
        <w:pStyle w:val="p"/>
        <w:spacing w:before="98" w:after="0" w:line="252" w:lineRule="auto"/>
        <w:ind w:left="212" w:right="666"/>
        <w:rPr>
          <w:sz w:val="18"/>
          <w:szCs w:val="18"/>
        </w:rPr>
      </w:pPr>
      <w:r>
        <w:rPr>
          <w:b/>
          <w:bCs/>
          <w:color w:val="252525"/>
          <w:sz w:val="18"/>
          <w:szCs w:val="18"/>
        </w:rPr>
        <w:t xml:space="preserve">Mission en Centre de Service – Reprise d’un projet d’implémentation d’un DWH pour le Data Portal</w:t>
      </w:r>
    </w:p>
    <w:p>
      <w:pPr>
        <w:pStyle w:val="p"/>
        <w:spacing w:before="0" w:after="0"/>
        <w:ind w:left="0" w:right="0"/>
        <w:rPr>
          <w:sz w:val="18"/>
          <w:szCs w:val="18"/>
        </w:rPr>
      </w:pPr>
      <w:r>
        <w:rPr>
          <w:sz w:val="18"/>
          <w:szCs w:val="18"/>
        </w:rPr>
        <w:t xml:space="preserve"> </w:t>
      </w:r>
    </w:p>
    <w:p>
      <w:pPr>
        <w:pStyle w:val="ListParagraph0"/>
        <w:spacing w:before="0" w:after="0" w:line="276" w:lineRule="auto"/>
        <w:ind w:left="483" w:right="1080" w:firstLine="0"/>
        <w:jc w:val="both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Mise en place du DWH (projet Data Portal) : </w:t>
      </w:r>
    </w:p>
    <w:p>
      <w:pPr>
        <w:pStyle w:val="ListParagraph0"/>
        <w:numPr>
          <w:ilvl w:val="0"/>
          <w:numId w:val="10"/>
        </w:numPr>
        <w:pBdr>
          <w:left w:val="none" w:sz="0" w:space="4" w:color="auto"/>
        </w:pBdr>
        <w:spacing w:before="0" w:after="0" w:line="276" w:lineRule="auto"/>
        <w:ind w:left="483" w:right="1080" w:hanging="269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Evolutions et Alimentation du DWH avec </w:t>
      </w:r>
      <w:r>
        <w:rPr>
          <w:b/>
          <w:bCs/>
          <w:color w:val="252525"/>
          <w:sz w:val="18"/>
          <w:szCs w:val="18"/>
        </w:rPr>
        <w:t xml:space="preserve">Azure Synapse Analytics</w:t>
      </w:r>
      <w:r>
        <w:rPr>
          <w:color w:val="252525"/>
          <w:sz w:val="18"/>
          <w:szCs w:val="18"/>
        </w:rPr>
        <w:t xml:space="preserve"> :</w:t>
      </w:r>
    </w:p>
    <w:p>
      <w:pPr>
        <w:pStyle w:val="ListParagraph0"/>
        <w:spacing w:before="0" w:after="0" w:line="276" w:lineRule="auto"/>
        <w:ind w:left="820" w:right="1080"/>
        <w:jc w:val="both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Rédaction/évolution de scripts SQL de création, modification ou suppression de tables</w:t>
      </w:r>
    </w:p>
    <w:p>
      <w:pPr>
        <w:pStyle w:val="ListParagraph0"/>
        <w:spacing w:before="0" w:after="0" w:line="276" w:lineRule="auto"/>
        <w:ind w:left="820" w:right="1080"/>
        <w:jc w:val="both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Ajout de champs dans les tables avec la modification du pipeline sur Azure Synapse</w:t>
      </w:r>
    </w:p>
    <w:p>
      <w:pPr>
        <w:pStyle w:val="ListParagraph0"/>
        <w:spacing w:before="0" w:after="0" w:line="276" w:lineRule="auto"/>
        <w:ind w:left="483" w:right="1080" w:firstLine="0"/>
        <w:jc w:val="both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 </w:t>
      </w:r>
    </w:p>
    <w:p>
      <w:pPr>
        <w:pStyle w:val="ListParagraph0"/>
        <w:spacing w:before="0" w:after="0" w:line="276" w:lineRule="auto"/>
        <w:ind w:left="483" w:right="1080" w:firstLine="0"/>
        <w:jc w:val="both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 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Recette sur les données de la base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Mise à jour de la Documentation :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Mise à jour du Modèle de données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Mise à jour du Catalogue de données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Monitoring</w:t>
      </w:r>
    </w:p>
    <w:p>
      <w:pPr>
        <w:pStyle w:val="ListParagraph0"/>
        <w:numPr>
          <w:ilvl w:val="0"/>
          <w:numId w:val="11"/>
        </w:numPr>
        <w:pBdr>
          <w:left w:val="none" w:sz="0" w:space="4" w:color="auto"/>
        </w:pBdr>
        <w:spacing w:before="0" w:after="0"/>
        <w:ind w:left="487" w:right="1077" w:hanging="267"/>
        <w:jc w:val="both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Analyse et résolution de bugs au niveau du datawarehouse</w:t>
      </w:r>
    </w:p>
    <w:p>
      <w:pPr>
        <w:pStyle w:val="BodyText0"/>
        <w:spacing w:before="5" w:after="0"/>
        <w:ind w:left="0" w:right="0"/>
        <w:rPr>
          <w:sz w:val="17"/>
          <w:szCs w:val="17"/>
        </w:rPr>
      </w:pPr>
      <w:r>
        <w:rPr>
          <w:sz w:val="17"/>
          <w:szCs w:val="17"/>
        </w:rPr>
        <w:t xml:space="preserve"> </w:t>
      </w:r>
    </w:p>
    <w:p>
      <w:pPr>
        <w:pStyle w:val="Heading2"/>
        <w:keepNext w:val="0"/>
        <w:keepLines w:val="0"/>
        <w:spacing w:before="0"/>
        <w:ind w:left="212" w:right="0"/>
        <w:rPr>
          <w:b/>
          <w:bCs/>
          <w:sz w:val="18"/>
          <w:szCs w:val="18"/>
        </w:rPr>
      </w:pPr>
      <w:r>
        <w:rPr>
          <w:i w:val="0"/>
          <w:color w:val="252525"/>
        </w:rPr>
        <w:t xml:space="preserve">Environnement : </w:t>
      </w:r>
      <w:r>
        <w:rPr>
          <w:i w:val="0"/>
          <w:color w:val="252525"/>
        </w:rPr>
        <w:t xml:space="preserve">SQL Server, Power BI, </w:t>
      </w:r>
      <w:r>
        <w:rPr>
          <w:i w:val="0"/>
          <w:color w:val="252525"/>
        </w:rPr>
        <w:t xml:space="preserve">Azure Synapse Analytics</w:t>
      </w:r>
    </w:p>
    <w:p>
      <w:pPr>
        <w:pStyle w:val="BodyText0"/>
        <w:spacing w:before="0" w:after="0"/>
        <w:ind w:left="0" w:right="0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 </w:t>
      </w:r>
    </w:p>
    <w:p>
      <w:pPr>
        <w:pStyle w:val="BodyText0"/>
        <w:spacing w:before="8" w:after="0"/>
        <w:ind w:left="0" w:right="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 </w:t>
      </w:r>
    </w:p>
    <w:tbl>
      <w:tblPr>
        <w:tblStyle w:val="NormalTable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7"/>
        <w:gridCol w:w="2808"/>
        <w:gridCol w:w="1358"/>
        <w:gridCol w:w="3620"/>
      </w:tblGrid>
      <w:tr>
        <w:tblPrEx>
          <w:tblInd w:w="14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47"/>
        </w:trPr>
        <w:tc>
          <w:tcPr>
            <w:tcW w:w="9087" w:type="dxa"/>
            <w:gridSpan w:val="4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2" w:after="24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ASTRAZENECA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3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6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Fonction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6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Consultante BI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(Centre de Service)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56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Date :</w:t>
            </w:r>
          </w:p>
        </w:tc>
        <w:tc>
          <w:tcPr>
            <w:tcW w:w="28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Janv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Sept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.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2</w:t>
            </w:r>
          </w:p>
        </w:tc>
        <w:tc>
          <w:tcPr>
            <w:tcW w:w="1361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69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Lieu :</w:t>
            </w:r>
          </w:p>
        </w:tc>
        <w:tc>
          <w:tcPr>
            <w:tcW w:w="3730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226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La Défense</w:t>
            </w:r>
          </w:p>
        </w:tc>
      </w:tr>
    </w:tbl>
    <w:p>
      <w:pPr>
        <w:pStyle w:val="p"/>
        <w:spacing w:before="98" w:after="0" w:line="252" w:lineRule="auto"/>
        <w:ind w:left="245" w:right="666"/>
        <w:rPr>
          <w:sz w:val="18"/>
          <w:szCs w:val="18"/>
        </w:rPr>
      </w:pPr>
      <w:r>
        <w:rPr>
          <w:b/>
          <w:bCs/>
          <w:color w:val="252525"/>
          <w:sz w:val="18"/>
          <w:szCs w:val="18"/>
        </w:rPr>
        <w:t xml:space="preserve">Intervention sur 2 projets au forfait et 1 POC de Cartographie</w:t>
      </w:r>
    </w:p>
    <w:p>
      <w:pPr>
        <w:pStyle w:val="p"/>
        <w:spacing w:before="0" w:after="0" w:line="252" w:lineRule="auto"/>
        <w:ind w:left="0" w:right="1094"/>
        <w:jc w:val="both"/>
        <w:rPr>
          <w:sz w:val="19"/>
          <w:szCs w:val="19"/>
        </w:rPr>
      </w:pPr>
      <w:r>
        <w:rPr>
          <w:sz w:val="19"/>
          <w:szCs w:val="19"/>
        </w:rPr>
        <w:t xml:space="preserve"> </w:t>
      </w:r>
    </w:p>
    <w:p>
      <w:pPr>
        <w:pStyle w:val="p"/>
        <w:spacing w:before="0" w:after="0"/>
        <w:ind w:left="0" w:right="0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Datawarehouse</w:t>
      </w:r>
    </w:p>
    <w:p>
      <w:pPr>
        <w:pStyle w:val="ListParagraph0"/>
        <w:widowControl/>
        <w:numPr>
          <w:ilvl w:val="0"/>
          <w:numId w:val="12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Écriture de requêtes SQL dans Redshift</w:t>
      </w:r>
    </w:p>
    <w:p>
      <w:pPr>
        <w:pStyle w:val="ListParagraph0"/>
        <w:widowControl/>
        <w:numPr>
          <w:ilvl w:val="0"/>
          <w:numId w:val="12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Création et modification de vues</w:t>
      </w:r>
    </w:p>
    <w:p>
      <w:pPr>
        <w:pStyle w:val="p"/>
        <w:spacing w:before="0" w:after="0"/>
        <w:ind w:left="0" w:right="0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 </w:t>
      </w:r>
    </w:p>
    <w:p>
      <w:pPr>
        <w:pStyle w:val="p"/>
        <w:spacing w:before="0" w:after="0"/>
        <w:ind w:left="0" w:right="0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Micro Strategy</w:t>
      </w:r>
      <w:r>
        <w:rPr>
          <w:color w:val="252525"/>
          <w:sz w:val="18"/>
          <w:szCs w:val="18"/>
        </w:rPr>
        <w:t xml:space="preserve"> : sur les 2 forfaits (intervention dans une équipe composée de plusieurs développeurs avec 1 architecte en supervision)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de la couche sémantique (Attributs, faits, transformations) et applicative (filtres, mesures, cubes intelligent, rapports)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de </w:t>
      </w:r>
      <w:r>
        <w:rPr>
          <w:color w:val="252525"/>
          <w:sz w:val="18"/>
          <w:szCs w:val="18"/>
        </w:rPr>
        <w:t xml:space="preserve">dashboards</w:t>
      </w:r>
      <w:r>
        <w:rPr>
          <w:color w:val="252525"/>
          <w:sz w:val="18"/>
          <w:szCs w:val="18"/>
        </w:rPr>
        <w:t xml:space="preserve"> transactionnels et dossiers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Refonte de la couche sémantique suite à un changement de modèle (re-mappage des objets et tests de non-régression)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Réalisation de tests unitaires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Correction des anomalies et évolutions remontées lors de la phase de recette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POC Cartographie : mise en évidence des atouts et inconvénients des 2 solutions de cartographie disponible sur </w:t>
      </w:r>
      <w:r>
        <w:rPr>
          <w:color w:val="252525"/>
          <w:sz w:val="18"/>
          <w:szCs w:val="18"/>
        </w:rPr>
        <w:t xml:space="preserve">Micro Strategy</w:t>
      </w:r>
      <w:r>
        <w:rPr>
          <w:color w:val="252525"/>
          <w:sz w:val="18"/>
          <w:szCs w:val="18"/>
        </w:rPr>
        <w:t xml:space="preserve"> : ESRI et MAPBOX avec la mise en place d’un prototype sur </w:t>
      </w:r>
      <w:r>
        <w:rPr>
          <w:color w:val="252525"/>
          <w:sz w:val="18"/>
          <w:szCs w:val="18"/>
        </w:rPr>
        <w:t xml:space="preserve">Mapbox</w:t>
      </w:r>
      <w:r>
        <w:rPr>
          <w:color w:val="252525"/>
          <w:sz w:val="18"/>
          <w:szCs w:val="18"/>
        </w:rPr>
        <w:t xml:space="preserve"> utilisant des fonds de carte KML spécifiques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Rédaction du support et réalisation d’une vidéo démo</w:t>
      </w:r>
    </w:p>
    <w:p>
      <w:pPr>
        <w:pStyle w:val="ListParagraph0"/>
        <w:widowControl/>
        <w:numPr>
          <w:ilvl w:val="0"/>
          <w:numId w:val="13"/>
        </w:numPr>
        <w:pBdr>
          <w:left w:val="none" w:sz="0" w:space="8" w:color="auto"/>
        </w:pBdr>
        <w:spacing w:before="0" w:after="0" w:line="259" w:lineRule="auto"/>
        <w:ind w:left="720" w:right="0" w:hanging="351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z w:val="18"/>
          <w:szCs w:val="18"/>
        </w:rPr>
        <w:t xml:space="preserve">Présentation au métier</w:t>
      </w:r>
    </w:p>
    <w:p>
      <w:pPr>
        <w:pStyle w:val="BodyText0"/>
        <w:spacing w:before="4" w:after="0"/>
        <w:ind w:left="0" w:right="0"/>
        <w:rPr>
          <w:sz w:val="17"/>
          <w:szCs w:val="17"/>
        </w:rPr>
      </w:pPr>
      <w:r>
        <w:rPr>
          <w:sz w:val="17"/>
          <w:szCs w:val="17"/>
        </w:rPr>
        <w:t xml:space="preserve"> </w:t>
      </w:r>
    </w:p>
    <w:p>
      <w:pPr>
        <w:pStyle w:val="Heading2"/>
        <w:keepNext w:val="0"/>
        <w:keepLines w:val="0"/>
        <w:spacing w:before="0"/>
        <w:ind w:left="245" w:right="0"/>
        <w:rPr>
          <w:b/>
          <w:bCs/>
          <w:sz w:val="18"/>
          <w:szCs w:val="18"/>
        </w:rPr>
      </w:pPr>
      <w:r>
        <w:rPr>
          <w:i w:val="0"/>
          <w:color w:val="252525"/>
        </w:rPr>
        <w:t xml:space="preserve">Environnement : </w:t>
      </w:r>
      <w:r>
        <w:rPr>
          <w:i w:val="0"/>
          <w:color w:val="252525"/>
        </w:rPr>
        <w:t xml:space="preserve">Micro Strategy</w:t>
      </w:r>
      <w:r>
        <w:rPr>
          <w:i w:val="0"/>
          <w:color w:val="252525"/>
        </w:rPr>
        <w:t xml:space="preserve"> 2021</w:t>
      </w:r>
      <w:r>
        <w:rPr>
          <w:i w:val="0"/>
          <w:color w:val="252525"/>
        </w:rPr>
        <w:t xml:space="preserve">, </w:t>
      </w:r>
      <w:r>
        <w:rPr>
          <w:i w:val="0"/>
          <w:color w:val="252525"/>
        </w:rPr>
        <w:t xml:space="preserve">AWS Redshift</w:t>
      </w:r>
    </w:p>
    <w:p>
      <w:pPr>
        <w:pStyle w:val="TableParagraph"/>
        <w:spacing w:before="1" w:after="240"/>
        <w:ind w:left="0" w:right="0"/>
      </w:pPr>
      <w:r>
        <w:rPr>
          <w:color w:val="252525"/>
        </w:rPr>
        <w:t xml:space="preserve"> </w:t>
      </w:r>
    </w:p>
    <w:tbl>
      <w:tblPr>
        <w:tblStyle w:val="NormalTable"/>
        <w:tblInd w:w="146" w:type="dxa"/>
        <w:tblCellMar>
          <w:top w:w="0" w:type="dxa"/>
          <w:left w:w="0" w:type="dxa"/>
          <w:bottom w:w="0" w:type="dxa"/>
          <w:right w:w="0" w:type="dxa"/>
        </w:tblCellMar>
        <w:tblLook w:val="05E0"/>
      </w:tblPr>
      <w:tblGrid>
        <w:gridCol w:w="1096"/>
        <w:gridCol w:w="2820"/>
        <w:gridCol w:w="1357"/>
        <w:gridCol w:w="3610"/>
      </w:tblGrid>
      <w:tr>
        <w:tblPrEx>
          <w:tblInd w:w="146" w:type="dxa"/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447"/>
        </w:trPr>
        <w:tc>
          <w:tcPr>
            <w:tcW w:w="9087" w:type="dxa"/>
            <w:gridSpan w:val="4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2" w:after="24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28"/>
                <w:szCs w:val="2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AEE0"/>
                <w:sz w:val="28"/>
                <w:szCs w:val="28"/>
              </w:rPr>
              <w:t xml:space="preserve">CLAIR GROUP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63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6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Fonction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:</w:t>
            </w:r>
          </w:p>
        </w:tc>
        <w:tc>
          <w:tcPr>
            <w:tcW w:w="7989" w:type="dxa"/>
            <w:gridSpan w:val="3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6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Consultante BI SSIS &amp;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Micro Strategy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(Centre de Services)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  <w:tblLook w:val="05E0"/>
        </w:tblPrEx>
        <w:trPr>
          <w:trHeight w:val="356"/>
        </w:trPr>
        <w:tc>
          <w:tcPr>
            <w:tcW w:w="10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45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Date :</w:t>
            </w:r>
          </w:p>
        </w:tc>
        <w:tc>
          <w:tcPr>
            <w:tcW w:w="2898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16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Mars 2022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Décembre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 20</w:t>
            </w: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22</w:t>
            </w:r>
          </w:p>
        </w:tc>
        <w:tc>
          <w:tcPr>
            <w:tcW w:w="1361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698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Lieu :</w:t>
            </w:r>
          </w:p>
        </w:tc>
        <w:tc>
          <w:tcPr>
            <w:tcW w:w="3730" w:type="dxa"/>
            <w:shd w:val="clear" w:color="auto" w:fill="F5F5F5"/>
            <w:noWrap w:val="0"/>
            <w:tcMar>
              <w:top w:w="5" w:type="dxa"/>
              <w:left w:w="5" w:type="dxa"/>
              <w:bottom w:w="5" w:type="dxa"/>
              <w:right w:w="5" w:type="dxa"/>
            </w:tcMar>
            <w:vAlign w:val="top"/>
          </w:tcPr>
          <w:p>
            <w:pPr>
              <w:pStyle w:val="TableParagraph"/>
              <w:spacing w:before="73" w:after="0"/>
              <w:ind w:left="226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8"/>
                <w:szCs w:val="18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252525"/>
                <w:sz w:val="18"/>
                <w:szCs w:val="18"/>
              </w:rPr>
              <w:t xml:space="preserve">Le Bourget, France</w:t>
            </w:r>
          </w:p>
        </w:tc>
      </w:tr>
    </w:tbl>
    <w:p>
      <w:pPr>
        <w:pStyle w:val="p"/>
        <w:spacing w:before="98" w:after="0" w:line="252" w:lineRule="auto"/>
        <w:ind w:left="245" w:right="666"/>
        <w:rPr>
          <w:sz w:val="18"/>
          <w:szCs w:val="18"/>
        </w:rPr>
      </w:pPr>
      <w:r>
        <w:rPr>
          <w:b/>
          <w:bCs/>
          <w:color w:val="252525"/>
          <w:sz w:val="18"/>
          <w:szCs w:val="18"/>
        </w:rPr>
        <w:t xml:space="preserve">Intégration de nouvelles sources de données dans une architecture BI en cours de construction – intervention en Centre de service</w:t>
      </w:r>
    </w:p>
    <w:p>
      <w:pPr>
        <w:pStyle w:val="p"/>
        <w:spacing w:before="4" w:after="0" w:line="276" w:lineRule="auto"/>
        <w:ind w:left="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 </w:t>
      </w:r>
    </w:p>
    <w:p>
      <w:pPr>
        <w:pStyle w:val="ListParagraph0"/>
        <w:numPr>
          <w:ilvl w:val="0"/>
          <w:numId w:val="14"/>
        </w:numPr>
        <w:pBdr>
          <w:left w:val="none" w:sz="0" w:space="4" w:color="auto"/>
        </w:pBdr>
        <w:spacing w:before="4" w:after="0" w:line="276" w:lineRule="auto"/>
        <w:ind w:left="483" w:right="829" w:hanging="270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pacing w:val="0"/>
          <w:sz w:val="18"/>
          <w:szCs w:val="18"/>
        </w:rPr>
        <w:t xml:space="preserve">Datawarehouse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Création et modification de tables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de procédures</w:t>
      </w:r>
      <w:r>
        <w:rPr>
          <w:color w:val="252525"/>
          <w:sz w:val="18"/>
          <w:szCs w:val="18"/>
        </w:rPr>
        <w:t xml:space="preserve"> stockées</w:t>
      </w:r>
    </w:p>
    <w:p>
      <w:pPr>
        <w:pStyle w:val="ListParagraph0"/>
        <w:numPr>
          <w:ilvl w:val="0"/>
          <w:numId w:val="15"/>
        </w:numPr>
        <w:pBdr>
          <w:left w:val="none" w:sz="0" w:space="4" w:color="auto"/>
        </w:pBdr>
        <w:spacing w:before="4" w:after="0" w:line="276" w:lineRule="auto"/>
        <w:ind w:left="483" w:right="829" w:hanging="270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pacing w:val="0"/>
          <w:sz w:val="18"/>
          <w:szCs w:val="18"/>
        </w:rPr>
        <w:t xml:space="preserve">Monday</w:t>
      </w:r>
      <w:r>
        <w:rPr>
          <w:color w:val="252525"/>
          <w:spacing w:val="0"/>
          <w:sz w:val="18"/>
          <w:szCs w:val="18"/>
        </w:rPr>
        <w:t xml:space="preserve">: 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Analyse et Documentation de l’outil MONDAY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Requêtes via l’API </w:t>
      </w:r>
      <w:r>
        <w:rPr>
          <w:color w:val="252525"/>
          <w:sz w:val="18"/>
          <w:szCs w:val="18"/>
        </w:rPr>
        <w:t xml:space="preserve">Monday</w:t>
      </w:r>
    </w:p>
    <w:p>
      <w:pPr>
        <w:pStyle w:val="ListParagraph0"/>
        <w:numPr>
          <w:ilvl w:val="0"/>
          <w:numId w:val="16"/>
        </w:numPr>
        <w:pBdr>
          <w:left w:val="none" w:sz="0" w:space="4" w:color="auto"/>
        </w:pBdr>
        <w:spacing w:before="4" w:after="0" w:line="276" w:lineRule="auto"/>
        <w:ind w:left="483" w:right="829" w:hanging="270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pacing w:val="0"/>
          <w:sz w:val="18"/>
          <w:szCs w:val="18"/>
        </w:rPr>
        <w:t xml:space="preserve">ETL SSIS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de packages SSIS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Extraction ponctuelle de données depuis </w:t>
      </w:r>
      <w:r>
        <w:rPr>
          <w:color w:val="252525"/>
          <w:sz w:val="18"/>
          <w:szCs w:val="18"/>
        </w:rPr>
        <w:t xml:space="preserve">Monday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Extraction programmée de données depuis </w:t>
      </w:r>
      <w:r>
        <w:rPr>
          <w:color w:val="252525"/>
          <w:sz w:val="18"/>
          <w:szCs w:val="18"/>
        </w:rPr>
        <w:t xml:space="preserve">Monday</w:t>
      </w:r>
    </w:p>
    <w:p>
      <w:pPr>
        <w:pStyle w:val="ListParagraph0"/>
        <w:numPr>
          <w:ilvl w:val="0"/>
          <w:numId w:val="17"/>
        </w:numPr>
        <w:pBdr>
          <w:left w:val="none" w:sz="0" w:space="4" w:color="auto"/>
        </w:pBdr>
        <w:spacing w:before="4" w:after="0" w:line="276" w:lineRule="auto"/>
        <w:ind w:left="483" w:right="829" w:hanging="270"/>
        <w:jc w:val="left"/>
        <w:rPr>
          <w:rFonts w:ascii="Times New Roman" w:eastAsia="Times New Roman" w:hAnsi="Times New Roman" w:cs="Times New Roman"/>
          <w:color w:val="252525"/>
          <w:sz w:val="18"/>
          <w:szCs w:val="18"/>
        </w:rPr>
      </w:pPr>
      <w:r>
        <w:rPr>
          <w:color w:val="252525"/>
          <w:spacing w:val="0"/>
          <w:sz w:val="18"/>
          <w:szCs w:val="18"/>
        </w:rPr>
        <w:t xml:space="preserve">Micro Strategy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d’objets</w:t>
      </w:r>
      <w:r>
        <w:rPr>
          <w:color w:val="252525"/>
          <w:sz w:val="18"/>
          <w:szCs w:val="18"/>
        </w:rPr>
        <w:t xml:space="preserve"> couche sémantique/applicative</w:t>
      </w:r>
      <w:r>
        <w:rPr>
          <w:color w:val="252525"/>
          <w:sz w:val="18"/>
          <w:szCs w:val="18"/>
        </w:rPr>
        <w:t xml:space="preserve"> (Attribut, filtre, mesure, rapport)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Création de </w:t>
      </w:r>
      <w:r>
        <w:rPr>
          <w:color w:val="252525"/>
          <w:sz w:val="18"/>
          <w:szCs w:val="18"/>
        </w:rPr>
        <w:t xml:space="preserve">reporting</w:t>
      </w:r>
      <w:r>
        <w:rPr>
          <w:color w:val="252525"/>
          <w:sz w:val="18"/>
          <w:szCs w:val="18"/>
        </w:rPr>
        <w:t xml:space="preserve"> sur dossiers</w:t>
      </w:r>
    </w:p>
    <w:p>
      <w:pPr>
        <w:pStyle w:val="ListParagraph0"/>
        <w:spacing w:before="4" w:after="0" w:line="276" w:lineRule="auto"/>
        <w:ind w:left="820" w:right="829"/>
        <w:rPr>
          <w:sz w:val="18"/>
          <w:szCs w:val="18"/>
        </w:rPr>
      </w:pPr>
      <w:r>
        <w:rPr>
          <w:color w:val="252525"/>
          <w:sz w:val="18"/>
          <w:szCs w:val="18"/>
        </w:rPr>
        <w:t xml:space="preserve">Validation des données en environnement DEV/PROD</w:t>
      </w:r>
    </w:p>
    <w:p>
      <w:pPr>
        <w:pStyle w:val="p"/>
        <w:spacing w:before="4" w:after="0" w:line="250" w:lineRule="auto"/>
        <w:ind w:left="0" w:right="829"/>
        <w:rPr>
          <w:sz w:val="17"/>
          <w:szCs w:val="17"/>
        </w:rPr>
      </w:pPr>
      <w:r>
        <w:rPr>
          <w:sz w:val="17"/>
          <w:szCs w:val="17"/>
        </w:rPr>
        <w:t xml:space="preserve"> </w:t>
      </w:r>
    </w:p>
    <w:p>
      <w:pPr>
        <w:pStyle w:val="Heading2"/>
        <w:keepNext w:val="0"/>
        <w:keepLines w:val="0"/>
        <w:spacing w:before="0"/>
        <w:ind w:left="245" w:right="0"/>
        <w:rPr>
          <w:b/>
          <w:bCs/>
          <w:sz w:val="18"/>
          <w:szCs w:val="18"/>
        </w:rPr>
        <w:sectPr>
          <w:type w:val="nextPage"/>
          <w:pgSz w:w="11907" w:h="16839"/>
          <w:pgMar w:top="1440" w:right="1440" w:bottom="1440" w:left="1440" w:header="708" w:footer="708" w:gutter="0"/>
          <w:titlePg/>
        </w:sectPr>
      </w:pPr>
      <w:r>
        <w:rPr>
          <w:i w:val="0"/>
          <w:color w:val="252525"/>
        </w:rPr>
        <w:t xml:space="preserve">Environnement :</w:t>
      </w:r>
      <w:bookmarkStart w:id="4" w:name="Diapositive_4"/>
      <w:bookmarkEnd w:id="4"/>
      <w:r>
        <w:rPr>
          <w:i w:val="0"/>
          <w:color w:val="252525"/>
        </w:rPr>
        <w:t xml:space="preserve"> SSIS, </w:t>
      </w:r>
      <w:r>
        <w:rPr>
          <w:i w:val="0"/>
          <w:color w:val="252525"/>
        </w:rPr>
        <w:t xml:space="preserve">Micro Strategy</w:t>
      </w:r>
      <w:r>
        <w:rPr>
          <w:i w:val="0"/>
          <w:color w:val="252525"/>
        </w:rPr>
        <w:t xml:space="preserve">, </w:t>
      </w:r>
      <w:r>
        <w:rPr>
          <w:i w:val="0"/>
          <w:color w:val="252525"/>
        </w:rPr>
        <w:t xml:space="preserve">Monday</w:t>
      </w:r>
      <w:r>
        <w:rPr>
          <w:i w:val="0"/>
          <w:color w:val="252525"/>
        </w:rPr>
        <w:t xml:space="preserve">, API, SQL Server</w:t>
      </w:r>
    </w:p>
    <w:p>
      <w:pPr>
        <w:pStyle w:val="p"/>
        <w:spacing w:before="0" w:after="0"/>
        <w:ind w:left="0" w:right="0"/>
        <w:rPr>
          <w:sz w:val="19"/>
          <w:szCs w:val="19"/>
        </w:rPr>
      </w:pPr>
      <w:r>
        <w:rPr>
          <w:sz w:val="19"/>
          <w:szCs w:val="19"/>
        </w:rPr>
        <w:br w:type="page"/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 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EXCELIA</w:t>
      </w:r>
    </w:p>
    <w:tbl>
      <w:tblPr>
        <w:tblCellSpacing w:w="15" w:type="dxa"/>
        <w:tblInd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0" w:type="dxa"/>
          <w:left w:w="0" w:type="dxa"/>
          <w:bottom w:w="0" w:type="dxa"/>
          <w:right w:w="0" w:type="dxa"/>
        </w:tblCellMar>
      </w:tblPr>
      <w:tblGrid>
        <w:gridCol w:w="867"/>
        <w:gridCol w:w="2476"/>
        <w:gridCol w:w="496"/>
        <w:gridCol w:w="1036"/>
      </w:tblGrid>
      <w:tr>
        <w:tblPrEx>
          <w:tblCellSpacing w:w="15" w:type="dxa"/>
          <w:tblInd w:w="15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Fonction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 :</w:t>
            </w:r>
          </w:p>
        </w:tc>
        <w:tc>
          <w:tcPr>
            <w:gridSpan w:val="3"/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Ingénieur Data (Audit et migration)</w:t>
            </w:r>
          </w:p>
        </w:tc>
      </w:tr>
      <w:tr>
        <w:tblPrEx>
          <w:tblCellSpacing w:w="15" w:type="dxa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Date :</w:t>
            </w:r>
          </w:p>
        </w:tc>
        <w:tc>
          <w:tcPr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Juin 2025 – 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Septembre</w:t>
            </w: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 2025</w:t>
            </w:r>
          </w:p>
        </w:tc>
        <w:tc>
          <w:tcPr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Lieu :</w:t>
            </w:r>
          </w:p>
        </w:tc>
        <w:tc>
          <w:tcPr>
            <w:shd w:val="clear" w:color="auto" w:fill="F5F5F5"/>
            <w:noWrap w:val="0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>
            <w:pPr>
              <w:pStyle w:val="p"/>
              <w:spacing w:before="174" w:after="0"/>
              <w:ind w:left="0" w:right="0"/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</w:pPr>
            <w:r>
              <w:rPr>
                <w:b w:val="0"/>
                <w:bCs w:val="0"/>
                <w:i w:val="0"/>
                <w:iCs w:val="0"/>
                <w:smallCaps w:val="0"/>
                <w:color w:val="000000"/>
                <w:sz w:val="19"/>
                <w:szCs w:val="19"/>
              </w:rPr>
              <w:t xml:space="preserve">La Rochelle</w:t>
            </w:r>
          </w:p>
        </w:tc>
      </w:tr>
    </w:tbl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Mission :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Audit et refonte complète des processus de traitement de données, en assurant l'intégrité des systèmes de </w:t>
      </w:r>
      <w:r>
        <w:rPr>
          <w:b/>
          <w:bCs/>
          <w:sz w:val="19"/>
          <w:szCs w:val="19"/>
        </w:rPr>
        <w:t xml:space="preserve">reporting</w:t>
      </w:r>
      <w:r>
        <w:rPr>
          <w:b/>
          <w:bCs/>
          <w:sz w:val="19"/>
          <w:szCs w:val="19"/>
        </w:rPr>
        <w:t xml:space="preserve"> existants pour garantir leur maintien opérationnel.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Audit :</w:t>
      </w:r>
    </w:p>
    <w:p>
      <w:pPr>
        <w:pStyle w:val="li"/>
        <w:numPr>
          <w:ilvl w:val="0"/>
          <w:numId w:val="18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Analyse détaillée du modèle de données et recommandations stratégiques.</w:t>
      </w:r>
    </w:p>
    <w:p>
      <w:pPr>
        <w:pStyle w:val="li"/>
        <w:numPr>
          <w:ilvl w:val="0"/>
          <w:numId w:val="18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Évaluation de l'impact des migrations sur les systèmes Marketing et Finance, y compris base de données, ETL et systèmes de </w:t>
      </w:r>
      <w:r>
        <w:rPr>
          <w:sz w:val="19"/>
          <w:szCs w:val="19"/>
        </w:rPr>
        <w:t xml:space="preserve">reporting</w:t>
      </w:r>
      <w:r>
        <w:rPr>
          <w:sz w:val="19"/>
          <w:szCs w:val="19"/>
        </w:rPr>
        <w:t xml:space="preserve"> (analyse technique et collaboration sur les nouvelles règles de gestion).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Réalisations</w:t>
      </w:r>
      <w:r>
        <w:rPr>
          <w:b/>
          <w:bCs/>
          <w:sz w:val="19"/>
          <w:szCs w:val="19"/>
        </w:rPr>
        <w:t xml:space="preserve"> techniques :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Optimisation de l’environnement de développement.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Reconfiguration des flux de données dans les bases de données, ETL et systèmes de </w:t>
      </w:r>
      <w:r>
        <w:rPr>
          <w:sz w:val="19"/>
          <w:szCs w:val="19"/>
        </w:rPr>
        <w:t xml:space="preserve">reporting</w:t>
      </w:r>
      <w:r>
        <w:rPr>
          <w:sz w:val="19"/>
          <w:szCs w:val="19"/>
        </w:rPr>
        <w:t xml:space="preserve">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Création et optimisation de tables, vues, et procédures stockées.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Amélioration de pipelines avec Azure Data Factory.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Gestion des </w:t>
      </w:r>
      <w:r>
        <w:rPr>
          <w:sz w:val="19"/>
          <w:szCs w:val="19"/>
        </w:rPr>
        <w:t xml:space="preserve">datasets</w:t>
      </w:r>
      <w:r>
        <w:rPr>
          <w:sz w:val="19"/>
          <w:szCs w:val="19"/>
        </w:rPr>
        <w:t xml:space="preserve"> Power BI pour répondre aux nouvelles exigences métiers.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Réalisation de tests de non-régression pour assurer la stabilité des systèmes après migration.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Documentation technique et transfert des connaissances.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Déploiement, accompagnement et rectification durant les phases de recette.</w:t>
      </w:r>
    </w:p>
    <w:p>
      <w:pPr>
        <w:pStyle w:val="li"/>
        <w:numPr>
          <w:ilvl w:val="0"/>
          <w:numId w:val="19"/>
        </w:numPr>
        <w:pBdr>
          <w:left w:val="none" w:sz="0" w:space="8" w:color="auto"/>
        </w:pBdr>
        <w:spacing w:before="0" w:after="0"/>
        <w:ind w:left="720" w:right="0" w:hanging="360"/>
        <w:jc w:val="left"/>
        <w:rPr>
          <w:rFonts w:ascii="Times New Roman" w:eastAsia="Times New Roman" w:hAnsi="Times New Roman" w:cs="Times New Roman"/>
          <w:sz w:val="20"/>
          <w:szCs w:val="20"/>
        </w:rPr>
      </w:pPr>
      <w:r>
        <w:rPr>
          <w:sz w:val="19"/>
          <w:szCs w:val="19"/>
        </w:rPr>
        <w:t xml:space="preserve">Mise </w:t>
      </w:r>
      <w:r>
        <w:rPr>
          <w:sz w:val="19"/>
          <w:szCs w:val="19"/>
        </w:rPr>
        <w:t xml:space="preserve">en</w:t>
      </w:r>
      <w:r>
        <w:rPr>
          <w:sz w:val="19"/>
          <w:szCs w:val="19"/>
        </w:rPr>
        <w:t xml:space="preserve"> production </w:t>
      </w:r>
      <w:r>
        <w:rPr>
          <w:sz w:val="19"/>
          <w:szCs w:val="19"/>
        </w:rPr>
        <w:t xml:space="preserve">réussie</w:t>
      </w:r>
      <w:r>
        <w:rPr>
          <w:sz w:val="19"/>
          <w:szCs w:val="19"/>
        </w:rPr>
        <w:t xml:space="preserve">.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b/>
          <w:bCs/>
          <w:sz w:val="19"/>
          <w:szCs w:val="19"/>
        </w:rPr>
        <w:t xml:space="preserve">Environnement technique :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sz w:val="19"/>
          <w:szCs w:val="19"/>
        </w:rPr>
        <w:t xml:space="preserve">Azure Synapse, Azure Data Factory, Power BI</w:t>
      </w:r>
    </w:p>
    <w:p>
      <w:pPr>
        <w:pStyle w:val="p"/>
        <w:spacing w:before="174" w:after="0"/>
        <w:ind w:left="0" w:right="0"/>
        <w:rPr>
          <w:sz w:val="19"/>
          <w:szCs w:val="19"/>
        </w:rPr>
      </w:pPr>
      <w:r>
        <w:rPr>
          <w:sz w:val="19"/>
          <w:szCs w:val="19"/>
        </w:rPr>
        <w:t xml:space="preserve"> </w:t>
      </w:r>
    </w:p>
    <w:sectPr>
      <w:type w:val="continuous"/>
      <w:pgSz w:w="11907" w:h="16839"/>
      <w:pgMar w:top="1440" w:right="1440" w:bottom="1440" w:left="1440" w:header="708" w:footer="708" w:gutter="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_0"/>
      <w:tabs>
        <w:tab w:val="center" w:pos="4536"/>
      </w:tabs>
      <w:spacing w:before="0" w:after="0"/>
      <w:ind w:left="0" w:right="0"/>
      <w:rPr>
        <w:rFonts w:ascii="Arial" w:eastAsia="Arial" w:hAnsi="Arial" w:cs="Arial"/>
        <w:sz w:val="22"/>
        <w:szCs w:val="22"/>
      </w:rPr>
    </w:pPr>
    <w:r>
      <w:rPr>
        <w:sz w:val="16"/>
        <w:szCs w:val="16"/>
      </w:rPr>
      <w:t xml:space="preserve">© 2025 NRJBI</w:t>
    </w:r>
    <w:r>
      <w:t xml:space="preserve"> </w:t>
    </w:r>
    <w:r>
      <w:rPr>
        <w:rFonts w:ascii="Arial" w:eastAsia="Arial" w:hAnsi="Arial" w:cs="Arial"/>
        <w:sz w:val="22"/>
        <w:szCs w:val="22"/>
      </w:rPr>
      <w:tab/>
    </w:r>
  </w:p>
  <w:p>
    <w:pPr>
      <w:pStyle w:val="Footer_0"/>
      <w:spacing w:before="0" w:after="0"/>
      <w:ind w:left="0" w:right="0"/>
      <w:jc w:val="center"/>
    </w:pPr>
    <w:r>
      <w:t xml:space="preserve"> 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multilevel"/>
    <w:tmpl w:val="00000000"/>
    <w:name w:val="Numbered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44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576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Times New Roman" w:eastAsia="Times New Roman" w:hAnsi="Times New Roman" w:cs="Times New Roman"/>
      </w:rPr>
    </w:lvl>
  </w:abstractNum>
  <w:abstractNum w:abstractNumId="1">
    <w:nsid w:val="00000002"/>
    <w:multiLevelType w:val="multilevel"/>
    <w:tmpl w:val="00000000"/>
    <w:name w:val="Bulleted"/>
    <w:lvl w:ilvl="0">
      <w:start w:val="1"/>
      <w:numFmt w:val="bullet"/>
      <w:lvlRestart w:val="1"/>
      <w:lvlText w:val=""/>
      <w:lvlJc w:val="left"/>
      <w:pPr>
        <w:ind w:left="72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Restart w:val="1"/>
      <w:lvlText w:val=""/>
      <w:lvlJc w:val="left"/>
      <w:pPr>
        <w:ind w:left="2160" w:hanging="360"/>
      </w:pPr>
      <w:rPr>
        <w:rFonts w:ascii="Wingdings" w:eastAsia="Wingdings" w:hAnsi="Wingdings" w:cs="Wingdings"/>
      </w:rPr>
    </w:lvl>
    <w:lvl w:ilvl="3">
      <w:start w:val="1"/>
      <w:numFmt w:val="bullet"/>
      <w:lvlRestart w:val="1"/>
      <w:lvlText w:val=""/>
      <w:lvlJc w:val="left"/>
      <w:pPr>
        <w:ind w:left="2880" w:hanging="360"/>
      </w:pPr>
      <w:rPr>
        <w:rFonts w:ascii="Symbol" w:eastAsia="Symbol" w:hAnsi="Symbol" w:cs="Symbol"/>
      </w:rPr>
    </w:lvl>
    <w:lvl w:ilvl="4">
      <w:start w:val="1"/>
      <w:numFmt w:val="bullet"/>
      <w:lvlRestart w:val="1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Restart w:val="1"/>
      <w:lvlText w:val=""/>
      <w:lvlJc w:val="left"/>
      <w:pPr>
        <w:ind w:left="4320" w:hanging="360"/>
      </w:pPr>
      <w:rPr>
        <w:rFonts w:ascii="Wingdings" w:eastAsia="Wingdings" w:hAnsi="Wingdings" w:cs="Wingdings"/>
      </w:rPr>
    </w:lvl>
    <w:lvl w:ilvl="6">
      <w:start w:val="1"/>
      <w:numFmt w:val="bullet"/>
      <w:lvlRestart w:val="1"/>
      <w:lvlText w:val=""/>
      <w:lvlJc w:val="left"/>
      <w:pPr>
        <w:ind w:left="5040" w:hanging="360"/>
      </w:pPr>
      <w:rPr>
        <w:rFonts w:ascii="Symbol" w:eastAsia="Symbol" w:hAnsi="Symbol" w:cs="Symbol"/>
      </w:rPr>
    </w:lvl>
    <w:lvl w:ilvl="7">
      <w:start w:val="1"/>
      <w:numFmt w:val="bullet"/>
      <w:lvlRestart w:val="1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Restart w:val="1"/>
      <w:lvlText w:val=""/>
      <w:lvlJc w:val="left"/>
      <w:pPr>
        <w:ind w:left="6480" w:hanging="360"/>
      </w:pPr>
      <w:rPr>
        <w:rFonts w:ascii="Wingdings" w:eastAsia="Wingdings" w:hAnsi="Wingdings" w:cs="Wingdings"/>
      </w:rPr>
    </w:lvl>
  </w:abstractNum>
  <w:abstractNum w:abstractNumId="2">
    <w:nsid w:val="00000003"/>
    <w:multiLevelType w:val="hybridMultilevel"/>
    <w:tmpl w:val="28DF6CE2"/>
    <w:name w:val="Numbered_d819dd13-facc-46ac-ac28-4f85693ebe0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28DF6CE3"/>
    <w:name w:val="Numbered_833cb191-f5f9-4ce8-a249-eb4537b24037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0000005"/>
    <w:multiLevelType w:val="hybridMultilevel"/>
    <w:tmpl w:val="28DF6CE4"/>
    <w:name w:val="Numbered_7e03da6e-98f5-4b1d-8edf-2c3cbd6f8fa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>
    <w:nsid w:val="00000006"/>
    <w:multiLevelType w:val="hybridMultilevel"/>
    <w:tmpl w:val="28DF6CE5"/>
    <w:name w:val="Numbered_39934af2-47e9-434d-b567-baddd3386461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>
    <w:nsid w:val="00000007"/>
    <w:multiLevelType w:val="hybridMultilevel"/>
    <w:tmpl w:val="28DF6CE6"/>
    <w:name w:val="Numbered_b1b11576-ec3d-47b5-b461-963425bb458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>
    <w:nsid w:val="00000008"/>
    <w:multiLevelType w:val="hybridMultilevel"/>
    <w:tmpl w:val="28DF6CE7"/>
    <w:name w:val="Numbered_250e8c7f-7cbb-4023-b832-8ccd63edae8a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>
    <w:nsid w:val="00000009"/>
    <w:multiLevelType w:val="hybridMultilevel"/>
    <w:tmpl w:val="28DF6CE8"/>
    <w:name w:val="Numbered_e755d799-a0d5-44a5-aff0-a612818c407b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>
    <w:nsid w:val="0000000A"/>
    <w:multiLevelType w:val="hybridMultilevel"/>
    <w:tmpl w:val="28DF6CE9"/>
    <w:name w:val="Numbered_7eed41b5-b70d-4fc4-8d08-7dc0fcbebd7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0">
    <w:nsid w:val="0000000B"/>
    <w:multiLevelType w:val="hybridMultilevel"/>
    <w:tmpl w:val="28DF6CEA"/>
    <w:name w:val="Numbered_f572df1f-615c-41c3-a099-33863eef12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1">
    <w:nsid w:val="0000000C"/>
    <w:multiLevelType w:val="hybridMultilevel"/>
    <w:tmpl w:val="28DF6CEB"/>
    <w:name w:val="Numbered_2240de61-ee0c-4ee8-8c0e-12d4b22b3bd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2">
    <w:nsid w:val="0000000D"/>
    <w:multiLevelType w:val="hybridMultilevel"/>
    <w:tmpl w:val="28DF6CEC"/>
    <w:name w:val="Numbered_68e65c75-186c-4534-8490-657339dfe73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3">
    <w:nsid w:val="0000000E"/>
    <w:multiLevelType w:val="hybridMultilevel"/>
    <w:tmpl w:val="28DF6CED"/>
    <w:name w:val="Numbered_3782bad8-84a2-4341-951d-525e2631c49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4">
    <w:nsid w:val="0000000F"/>
    <w:multiLevelType w:val="hybridMultilevel"/>
    <w:tmpl w:val="28DF6CEE"/>
    <w:name w:val="Numbered_f12aa9ef-8def-4b6d-90a6-774dce7ff5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5">
    <w:nsid w:val="00000010"/>
    <w:multiLevelType w:val="hybridMultilevel"/>
    <w:tmpl w:val="28DF6CEF"/>
    <w:name w:val="Numbered_cfdc8595-9a92-4d48-a901-002464d5e1f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6">
    <w:nsid w:val="00000011"/>
    <w:multiLevelType w:val="hybridMultilevel"/>
    <w:tmpl w:val="28DF6CF0"/>
    <w:name w:val="Numbered_2984b900-8ac4-4934-a4d1-d5cd701953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7">
    <w:nsid w:val="00000012"/>
    <w:multiLevelType w:val="hybridMultilevel"/>
    <w:tmpl w:val="28DF6CF1"/>
    <w:name w:val="Numbered_f5a8be84-9da1-498b-b278-34f916fe1fa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8">
    <w:nsid w:val="00000013"/>
    <w:multiLevelType w:val="hybridMultilevel"/>
    <w:tmpl w:val="28DF6CF2"/>
    <w:name w:val="Numbered_845ab0e6-a02a-4b60-824c-16e392ec57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Footer w:val="0"/>
  <w:bordersDoNotSurroundHeader w:val="0"/>
  <w:doNotTrackMoves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doNotFlipMirrorIndents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  <w:compatSetting w:name="differentiateMultirowTableHeaders" w:uri="http://schemas.microsoft.com/office/word" w:val="1"/>
  </w:compat>
  <w:rsids>
    <w:rsidRoot w:val="00000000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B77B5"/>
    <w:pPr>
      <w:widowControl w:val="0"/>
    </w:pPr>
    <w:rPr>
      <w:rFonts w:ascii="Arial" w:eastAsia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rsid w:val="00EF7B96"/>
    <w:pPr>
      <w:keepNext/>
      <w:keepLines/>
      <w:widowControl w:val="0"/>
      <w:spacing w:before="480" w:after="0"/>
      <w:outlineLvl w:val="0"/>
    </w:pPr>
    <w:rPr>
      <w:rFonts w:ascii="Arial" w:eastAsia="Arial" w:hAnsi="Arial" w:cs="Arial"/>
      <w:b w:val="0"/>
      <w:bCs w:val="0"/>
      <w:i w:val="0"/>
      <w:color w:val="365F91"/>
      <w:kern w:val="36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EF7B96"/>
    <w:pPr>
      <w:keepNext/>
      <w:keepLines/>
      <w:widowControl w:val="0"/>
      <w:spacing w:before="200" w:after="0"/>
      <w:outlineLvl w:val="1"/>
    </w:pPr>
    <w:rPr>
      <w:rFonts w:ascii="Arial" w:eastAsia="Arial" w:hAnsi="Arial" w:cs="Arial"/>
      <w:b/>
      <w:bCs/>
      <w:i w:val="0"/>
      <w:color w:val="4F81BD"/>
      <w:sz w:val="18"/>
      <w:szCs w:val="18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EF7B96"/>
    <w:pPr>
      <w:keepNext/>
      <w:keepLines/>
      <w:spacing w:before="200" w:after="0"/>
      <w:outlineLvl w:val="2"/>
    </w:pPr>
    <w:rPr>
      <w:rFonts w:ascii="Times New Roman" w:eastAsia="Times New Roman" w:hAnsi="Times New Roman" w:cs="Times New Roman"/>
      <w:b/>
      <w:bCs/>
      <w:i w:val="0"/>
      <w:color w:val="4F81BD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EF7B96"/>
    <w:pPr>
      <w:keepNext/>
      <w:keepLines/>
      <w:spacing w:before="200" w:after="0"/>
      <w:outlineLvl w:val="3"/>
    </w:pPr>
    <w:rPr>
      <w:rFonts w:ascii="Times New Roman" w:eastAsia="Times New Roman" w:hAnsi="Times New Roman" w:cs="Times New Roman"/>
      <w:b/>
      <w:bCs/>
      <w:i w:val="0"/>
      <w:iCs/>
      <w:color w:val="4F81BD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EF7B96"/>
    <w:pPr>
      <w:keepNext/>
      <w:keepLines/>
      <w:spacing w:before="200" w:after="0"/>
      <w:outlineLvl w:val="4"/>
    </w:pPr>
    <w:rPr>
      <w:rFonts w:ascii="Times New Roman" w:eastAsia="Times New Roman" w:hAnsi="Times New Roman" w:cs="Times New Roman"/>
      <w:b/>
      <w:bCs/>
      <w:i w:val="0"/>
      <w:color w:val="243F60"/>
      <w:sz w:val="20"/>
      <w:szCs w:val="20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EF7B96"/>
    <w:pPr>
      <w:keepNext/>
      <w:keepLines/>
      <w:spacing w:before="200" w:after="0"/>
      <w:outlineLvl w:val="5"/>
    </w:pPr>
    <w:rPr>
      <w:rFonts w:ascii="Times New Roman" w:eastAsia="Times New Roman" w:hAnsi="Times New Roman" w:cs="Times New Roman"/>
      <w:b/>
      <w:bCs/>
      <w:i w:val="0"/>
      <w:iCs/>
      <w:color w:val="243F60"/>
      <w:sz w:val="16"/>
      <w:szCs w:val="16"/>
    </w:rPr>
  </w:style>
  <w:style w:type="paragraph" w:styleId="p">
    <w:name w:val="p"/>
    <w:basedOn w:val="Normal"/>
  </w:style>
  <w:style w:type="paragraph" w:styleId="BodyText">
    <w:name w:val="Body Text"/>
    <w:basedOn w:val="Normal"/>
    <w:qFormat/>
    <w:rsid w:val="00805BCE"/>
    <w:pPr>
      <w:spacing w:after="120"/>
    </w:pPr>
  </w:style>
  <w:style w:type="paragraph" w:styleId="BodyText0">
    <w:name w:val="BodyText"/>
    <w:basedOn w:val="Normal"/>
    <w:pPr>
      <w:widowControl w:val="0"/>
    </w:pPr>
    <w:rPr>
      <w:rFonts w:ascii="Arial" w:eastAsia="Arial" w:hAnsi="Arial" w:cs="Arial"/>
      <w:sz w:val="18"/>
      <w:szCs w:val="18"/>
    </w:rPr>
  </w:style>
  <w:style w:type="paragraph" w:styleId="Footer">
    <w:name w:val="Footer"/>
    <w:basedOn w:val="Normal"/>
    <w:qFormat/>
    <w:rsid w:val="00EF7B96"/>
    <w:pPr>
      <w:tabs>
        <w:tab w:val="center" w:pos="4677"/>
        <w:tab w:val="right" w:pos="9355"/>
      </w:tabs>
    </w:pPr>
  </w:style>
  <w:style w:type="paragraph" w:styleId="Footer_0">
    <w:name w:val="Footer_0"/>
    <w:basedOn w:val="Normal"/>
    <w:pPr>
      <w:widowControl w:val="0"/>
    </w:pPr>
    <w:rPr>
      <w:rFonts w:ascii="Arial" w:eastAsia="Arial" w:hAnsi="Arial" w:cs="Arial"/>
      <w:sz w:val="22"/>
      <w:szCs w:val="22"/>
    </w:rPr>
  </w:style>
  <w:style w:type="table" w:default="1" w:styleId="NormalTab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TableParagraph">
    <w:name w:val="Table Paragraph"/>
    <w:basedOn w:val="Normal"/>
    <w:pPr>
      <w:widowControl w:val="0"/>
    </w:pPr>
    <w:rPr>
      <w:rFonts w:ascii="Arial" w:eastAsia="Arial" w:hAnsi="Arial" w:cs="Arial"/>
      <w:sz w:val="22"/>
      <w:szCs w:val="22"/>
    </w:rPr>
  </w:style>
  <w:style w:type="table" w:styleId="TableNormal1">
    <w:name w:val="TableNormal1"/>
    <w:tblPr/>
  </w:style>
  <w:style w:type="paragraph" w:styleId="ListParagraph">
    <w:name w:val="List Paragraph"/>
    <w:basedOn w:val="Normal"/>
    <w:uiPriority w:val="34"/>
    <w:qFormat/>
    <w:rsid w:val="00743E52"/>
    <w:pPr>
      <w:ind w:left="720"/>
      <w:contextualSpacing/>
    </w:pPr>
  </w:style>
  <w:style w:type="paragraph" w:styleId="ListParagraph0">
    <w:name w:val="ListParagraph"/>
    <w:basedOn w:val="Normal"/>
    <w:pPr>
      <w:widowControl w:val="0"/>
      <w:ind w:hanging="270"/>
    </w:pPr>
    <w:rPr>
      <w:rFonts w:ascii="Arial" w:eastAsia="Arial" w:hAnsi="Arial" w:cs="Arial"/>
      <w:sz w:val="22"/>
      <w:szCs w:val="22"/>
    </w:rPr>
  </w:style>
  <w:style w:type="paragraph" w:styleId="li">
    <w:name w:val="li"/>
    <w:basedOn w:val="Normal"/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fontTable" Target="fontTable.xml" /><Relationship Id="rId2" Type="http://schemas.openxmlformats.org/officeDocument/2006/relationships/webSettings" Target="webSettings.xml" /><Relationship Id="rId3" Type="http://schemas.openxmlformats.org/officeDocument/2006/relationships/footer" Target="footer1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jpeg" /><Relationship Id="rId7" Type="http://schemas.openxmlformats.org/officeDocument/2006/relationships/image" Target="media/image4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Spire.Doc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2025-10-22T19:18:54Z</dcterms:created>
  <dcterms:modified xsi:type="dcterms:W3CDTF">2025-10-22T19:18:54Z</dcterms:modified>
</cp:coreProperties>
</file>