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Event Cash Handling Policy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 — Cash Handling Procedures</w:t>
      </w:r>
    </w:p>
    <w:p>
      <w:pPr>
        <w:pStyle w:val="Heading2"/>
        <w:spacing w:after="100" w:before="220"/>
      </w:pPr>
      <w:r>
        <w:rPr>
          <w:rFonts w:ascii="Georgia" w:cs="Georgia" w:eastAsia="Georgia" w:hAnsi="Georgia"/>
          <w:b/>
          <w:bCs/>
          <w:color w:val="2E5B4C"/>
          <w:sz w:val="24"/>
          <w:szCs w:val="24"/>
        </w:rPr>
        <w:t xml:space="preserve">1. Purpose</w:t>
      </w:r>
    </w:p>
    <w:p>
      <w:pPr>
        <w:spacing w:after="120" w:line="276"/>
      </w:pPr>
      <w:r>
        <w:rPr>
          <w:rFonts w:ascii="Georgia" w:cs="Georgia" w:eastAsia="Georgia" w:hAnsi="Georgia"/>
          <w:i w:val="false"/>
          <w:iCs w:val="false"/>
          <w:color w:val="000000"/>
          <w:sz w:val="19"/>
          <w:szCs w:val="19"/>
        </w:rPr>
        <w:t xml:space="preserve">This policy establishes procedures for the collection, counting, and deposit of cash received at AGHF Inc. d/b/a AgroHouse Foundation events, including the [EVENT NAME] — [EVENT DATE], in order to protect event funds and volunteers and to ensure accurate financial records.</w:t>
      </w:r>
    </w:p>
    <w:p>
      <w:pPr>
        <w:pStyle w:val="Heading2"/>
        <w:spacing w:after="100" w:before="220"/>
      </w:pPr>
      <w:r>
        <w:rPr>
          <w:rFonts w:ascii="Georgia" w:cs="Georgia" w:eastAsia="Georgia" w:hAnsi="Georgia"/>
          <w:b/>
          <w:bCs/>
          <w:color w:val="2E5B4C"/>
          <w:sz w:val="24"/>
          <w:szCs w:val="24"/>
        </w:rPr>
        <w:t xml:space="preserve">2. Cash Collection Procedures</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All cash collection points (e.g., admission table, bake sale table, raffle table) must use a designated cash box or drawer assigned at the start of the event.</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Each cash box must begin the event with a recorded, counted starting/change fund amount, verified by two people.</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Only designated, approved volunteers or staff may handle event cash.</w:t>
      </w:r>
    </w:p>
    <w:p>
      <w:pPr>
        <w:pStyle w:val="Heading2"/>
        <w:spacing w:after="100" w:before="220"/>
      </w:pPr>
      <w:r>
        <w:rPr>
          <w:rFonts w:ascii="Georgia" w:cs="Georgia" w:eastAsia="Georgia" w:hAnsi="Georgia"/>
          <w:b/>
          <w:bCs/>
          <w:color w:val="2E5B4C"/>
          <w:sz w:val="24"/>
          <w:szCs w:val="24"/>
        </w:rPr>
        <w:t xml:space="preserve">3. Receipt Issuance</w:t>
      </w:r>
    </w:p>
    <w:p>
      <w:pPr>
        <w:spacing w:after="120" w:line="276"/>
      </w:pPr>
      <w:r>
        <w:rPr>
          <w:rFonts w:ascii="Georgia" w:cs="Georgia" w:eastAsia="Georgia" w:hAnsi="Georgia"/>
          <w:i w:val="false"/>
          <w:iCs w:val="false"/>
          <w:color w:val="000000"/>
          <w:sz w:val="19"/>
          <w:szCs w:val="19"/>
        </w:rPr>
        <w:t xml:space="preserve">A receipt or ticket stub must be issued for all cash sales and donations of $20 or more, and for any donation for which the donor requests a receipt regardless of amount.</w:t>
      </w:r>
    </w:p>
    <w:p>
      <w:pPr>
        <w:pStyle w:val="Heading2"/>
        <w:spacing w:after="100" w:before="220"/>
      </w:pPr>
      <w:r>
        <w:rPr>
          <w:rFonts w:ascii="Georgia" w:cs="Georgia" w:eastAsia="Georgia" w:hAnsi="Georgia"/>
          <w:b/>
          <w:bCs/>
          <w:color w:val="2E5B4C"/>
          <w:sz w:val="24"/>
          <w:szCs w:val="24"/>
        </w:rPr>
        <w:t xml:space="preserve">4. Two-Person Cash Count Procedure</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At the end of the event (and at any scheduled mid-event count), cash from each collection point must be counted by two unrelated individuals simultaneously.</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Both individuals must independently agree on the total counted and sign a Cash Count Sheet documenting the amount, date, time, and collection point.</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Any discrepancy between the starting fund, recorded sales/donations, and the counted total must be noted on the Cash Count Sheet and reported immediately to the Treasurer or Program Manager.</w:t>
      </w:r>
    </w:p>
    <w:p>
      <w:pPr>
        <w:pStyle w:val="Heading2"/>
        <w:spacing w:after="100" w:before="220"/>
      </w:pPr>
      <w:r>
        <w:rPr>
          <w:rFonts w:ascii="Georgia" w:cs="Georgia" w:eastAsia="Georgia" w:hAnsi="Georgia"/>
          <w:b/>
          <w:bCs/>
          <w:color w:val="2E5B4C"/>
          <w:sz w:val="24"/>
          <w:szCs w:val="24"/>
        </w:rPr>
        <w:t xml:space="preserve">5. Deposit Procedures</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All event cash must be deposited into the AGHF Inc. bank account within two (2) business days of the event, unless otherwise directed by the Treasurer.</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Deposits must be accompanied by the signed Cash Count Sheet(s) for reconciliation.</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No event cash may be used to pay event expenses directly ("cash back") without prior written approval from the Treasurer or Executive Director.</w:t>
      </w:r>
    </w:p>
    <w:p>
      <w:pPr>
        <w:pStyle w:val="Heading2"/>
        <w:spacing w:after="100" w:before="220"/>
      </w:pPr>
      <w:r>
        <w:rPr>
          <w:rFonts w:ascii="Georgia" w:cs="Georgia" w:eastAsia="Georgia" w:hAnsi="Georgia"/>
          <w:b/>
          <w:bCs/>
          <w:color w:val="2E5B4C"/>
          <w:sz w:val="24"/>
          <w:szCs w:val="24"/>
        </w:rPr>
        <w:t xml:space="preserve">6. Secure Storage Procedures</w:t>
      </w:r>
    </w:p>
    <w:p>
      <w:pPr>
        <w:spacing w:after="120" w:line="276"/>
      </w:pPr>
      <w:r>
        <w:rPr>
          <w:rFonts w:ascii="Georgia" w:cs="Georgia" w:eastAsia="Georgia" w:hAnsi="Georgia"/>
          <w:i w:val="false"/>
          <w:iCs w:val="false"/>
          <w:color w:val="000000"/>
          <w:sz w:val="19"/>
          <w:szCs w:val="19"/>
        </w:rPr>
        <w:t xml:space="preserve">Cash boxes must be kept with an assigned, responsible volunteer or staff member at all times during the event and stored in a locked location (e.g., a locked box, vehicle, or office) during any period when they are not actively staffed. Cash should never be left unattended.</w:t>
      </w:r>
    </w:p>
    <w:p>
      <w:pPr>
        <w:pStyle w:val="Heading2"/>
        <w:spacing w:after="100" w:before="220"/>
      </w:pPr>
      <w:r>
        <w:rPr>
          <w:rFonts w:ascii="Georgia" w:cs="Georgia" w:eastAsia="Georgia" w:hAnsi="Georgia"/>
          <w:b/>
          <w:bCs/>
          <w:color w:val="2E5B4C"/>
          <w:sz w:val="24"/>
          <w:szCs w:val="24"/>
        </w:rPr>
        <w:t xml:space="preserve">7. Separation of Duties</w:t>
      </w:r>
    </w:p>
    <w:p>
      <w:pPr>
        <w:spacing w:after="120" w:line="276"/>
      </w:pPr>
      <w:r>
        <w:rPr>
          <w:rFonts w:ascii="Georgia" w:cs="Georgia" w:eastAsia="Georgia" w:hAnsi="Georgia"/>
          <w:i w:val="false"/>
          <w:iCs w:val="false"/>
          <w:color w:val="000000"/>
          <w:sz w:val="19"/>
          <w:szCs w:val="19"/>
        </w:rPr>
        <w:t xml:space="preserve">Where practicable, the individual who collects cash during the event should not be the same individual who performs the final count, makes the bank deposit, and reconciles the deposit in the accounting system. At minimum, the two-person count requirement in Section 4 must be followed for every cash collection point.</w:t>
      </w:r>
    </w:p>
    <w:p>
      <w:pPr>
        <w:pStyle w:val="Heading2"/>
        <w:spacing w:after="100" w:before="220"/>
      </w:pPr>
      <w:r>
        <w:rPr>
          <w:rFonts w:ascii="Georgia" w:cs="Georgia" w:eastAsia="Georgia" w:hAnsi="Georgia"/>
          <w:b/>
          <w:bCs/>
          <w:color w:val="2E5B4C"/>
          <w:sz w:val="24"/>
          <w:szCs w:val="24"/>
        </w:rPr>
        <w:t xml:space="preserve">8. Documentation Requirements</w:t>
      </w:r>
    </w:p>
    <w:p>
      <w:pPr>
        <w:spacing w:after="120" w:line="276"/>
      </w:pPr>
      <w:r>
        <w:rPr>
          <w:rFonts w:ascii="Georgia" w:cs="Georgia" w:eastAsia="Georgia" w:hAnsi="Georgia"/>
          <w:i w:val="false"/>
          <w:iCs w:val="false"/>
          <w:color w:val="000000"/>
          <w:sz w:val="19"/>
          <w:szCs w:val="19"/>
        </w:rPr>
        <w:t xml:space="preserve">The following records must be retained for each event: starting fund count sheets, sales/donation logs, Cash Count Sheets (signed by two individuals), deposit slips, and bank deposit confirmation. Records should be retained per AGHF Inc.'s record retention standards.</w:t>
      </w:r>
    </w:p>
    <w:p>
      <w:pPr>
        <w:pStyle w:val="Heading2"/>
        <w:spacing w:after="100" w:before="220"/>
      </w:pPr>
      <w:r>
        <w:rPr>
          <w:rFonts w:ascii="Georgia" w:cs="Georgia" w:eastAsia="Georgia" w:hAnsi="Georgia"/>
          <w:b/>
          <w:bCs/>
          <w:color w:val="2E5B4C"/>
          <w:sz w:val="24"/>
          <w:szCs w:val="24"/>
        </w:rPr>
        <w:t xml:space="preserve">9. Fraud Prevention Practices</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No single individual should have unsupervised access to event cash from collection through deposit.</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All cash handling volunteers should be briefed on this policy prior to the event.</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Any suspected discrepancy, theft, or irregularity must be reported immediately to the Treasurer and Executive Director.</w:t>
      </w:r>
    </w:p>
    <w:p>
      <w:pPr>
        <w:spacing w:after="100"/>
        <w:ind w:left="360" w:hanging="360"/>
      </w:pPr>
      <w:r>
        <w:rPr>
          <w:rFonts w:ascii="Georgia" w:cs="Georgia" w:eastAsia="Georgia" w:hAnsi="Georgia"/>
          <w:b/>
          <w:bCs/>
          <w:color w:val="000000"/>
          <w:sz w:val="19"/>
          <w:szCs w:val="19"/>
        </w:rPr>
        <w:t xml:space="preserve">4. </w:t>
      </w:r>
      <w:r>
        <w:rPr>
          <w:rFonts w:ascii="Georgia" w:cs="Georgia" w:eastAsia="Georgia" w:hAnsi="Georgia"/>
          <w:color w:val="000000"/>
          <w:sz w:val="19"/>
          <w:szCs w:val="19"/>
        </w:rPr>
        <w:t xml:space="preserve">The Board or Treasurer may conduct periodic, unannounced reviews of cash handling procedures at events.</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policy provided for internal use by AGHF Inc. and should be reviewed by legal counsel and the Treasurer prior to adoption.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Treasurer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Executive Director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Event Cash Handling Policy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Event Cash Handling Policy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2026-08-25T19:06:13.293Z</dcterms:created>
  <dcterms:modified xsi:type="dcterms:W3CDTF">2026-08-25T19:06:13.293Z</dcterms:modified>
</cp:coreProperties>
</file>

<file path=docProps/custom.xml><?xml version="1.0" encoding="utf-8"?>
<Properties xmlns="http://schemas.openxmlformats.org/officeDocument/2006/custom-properties" xmlns:vt="http://schemas.openxmlformats.org/officeDocument/2006/docPropsVTypes"/>
</file>