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CONFLICT OF INTEREST POLICY</w:t>
      </w:r>
    </w:p>
    <w:p>
      <w:pPr>
        <w:spacing w:after="600"/>
        <w:jc w:val="center"/>
      </w:pPr>
      <w:r>
        <w:rPr>
          <w:rFonts w:ascii="Calibri" w:cs="Calibri" w:eastAsia="Calibri" w:hAnsi="Calibri"/>
          <w:color w:val="222222"/>
          <w:sz w:val="24"/>
          <w:szCs w:val="24"/>
        </w:rPr>
        <w:t xml:space="preserve">AGHF Inc. d/b/a AgroHouse Foundation</w:t>
      </w:r>
    </w:p>
    <w:p>
      <w:pPr>
        <w:spacing w:before="800"/>
        <w:jc w:val="center"/>
      </w:pPr>
      <w:r>
        <w:rPr>
          <w:rFonts w:ascii="Calibri" w:cs="Calibri" w:eastAsia="Calibri" w:hAnsi="Calibri"/>
          <w:b/>
          <w:bCs/>
          <w:color w:val="2B2E6B"/>
          <w:sz w:val="20"/>
          <w:szCs w:val="20"/>
        </w:rPr>
        <w:t xml:space="preserve">FOR BOARD ADOPTION</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PURPOSE</w:t>
      </w:r>
    </w:p>
    <w:p>
      <w:pPr>
        <w:spacing w:after="140"/>
      </w:pPr>
      <w:r>
        <w:rPr>
          <w:rFonts w:ascii="Calibri" w:cs="Calibri" w:eastAsia="Calibri" w:hAnsi="Calibri"/>
          <w:b w:val="false"/>
          <w:bCs w:val="false"/>
          <w:i w:val="false"/>
          <w:iCs w:val="false"/>
          <w:color w:val="222222"/>
          <w:sz w:val="21"/>
          <w:szCs w:val="21"/>
        </w:rPr>
        <w:t xml:space="preserve">The purpose of this Conflict of Interest Policy is to protect the interests of AGHF Inc. d/b/a AgroHouse Foundation (the “Corporation”) whenever it is considering a transaction, arrangement, compensation decision, or activity that may benefit the private interests of an officer, director, employee, volunteer, contractor, or related party. This policy is intended to supplement applicable Florida nonprofit law and Internal Revenue Service requirements for organizations seeking and maintaining tax-exempt status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PERSONS COVERED</w:t>
      </w:r>
    </w:p>
    <w:p>
      <w:pPr>
        <w:spacing w:after="140"/>
      </w:pPr>
      <w:r>
        <w:rPr>
          <w:rFonts w:ascii="Calibri" w:cs="Calibri" w:eastAsia="Calibri" w:hAnsi="Calibri"/>
          <w:b w:val="false"/>
          <w:bCs w:val="false"/>
          <w:i w:val="false"/>
          <w:iCs w:val="false"/>
          <w:color w:val="222222"/>
          <w:sz w:val="21"/>
          <w:szCs w:val="21"/>
        </w:rPr>
        <w:t xml:space="preserve">This policy applies to:</w:t>
      </w:r>
    </w:p>
    <w:p>
      <w:pPr>
        <w:pStyle w:val="ListParagraph"/>
        <w:numPr>
          <w:ilvl w:val="0"/>
          <w:numId w:val="2"/>
        </w:numPr>
        <w:spacing w:after="80"/>
      </w:pPr>
      <w:r>
        <w:rPr>
          <w:rFonts w:ascii="Calibri" w:cs="Calibri" w:eastAsia="Calibri" w:hAnsi="Calibri"/>
          <w:color w:val="222222"/>
          <w:sz w:val="21"/>
          <w:szCs w:val="21"/>
        </w:rPr>
        <w:t xml:space="preserve">Directors</w:t>
      </w:r>
    </w:p>
    <w:p>
      <w:pPr>
        <w:pStyle w:val="ListParagraph"/>
        <w:numPr>
          <w:ilvl w:val="0"/>
          <w:numId w:val="2"/>
        </w:numPr>
        <w:spacing w:after="80"/>
      </w:pPr>
      <w:r>
        <w:rPr>
          <w:rFonts w:ascii="Calibri" w:cs="Calibri" w:eastAsia="Calibri" w:hAnsi="Calibri"/>
          <w:color w:val="222222"/>
          <w:sz w:val="21"/>
          <w:szCs w:val="21"/>
        </w:rPr>
        <w:t xml:space="preserve">Officers</w:t>
      </w:r>
    </w:p>
    <w:p>
      <w:pPr>
        <w:pStyle w:val="ListParagraph"/>
        <w:numPr>
          <w:ilvl w:val="0"/>
          <w:numId w:val="2"/>
        </w:numPr>
        <w:spacing w:after="80"/>
      </w:pPr>
      <w:r>
        <w:rPr>
          <w:rFonts w:ascii="Calibri" w:cs="Calibri" w:eastAsia="Calibri" w:hAnsi="Calibri"/>
          <w:color w:val="222222"/>
          <w:sz w:val="21"/>
          <w:szCs w:val="21"/>
        </w:rPr>
        <w:t xml:space="preserve">Employees</w:t>
      </w:r>
    </w:p>
    <w:p>
      <w:pPr>
        <w:pStyle w:val="ListParagraph"/>
        <w:numPr>
          <w:ilvl w:val="0"/>
          <w:numId w:val="2"/>
        </w:numPr>
        <w:spacing w:after="80"/>
      </w:pPr>
      <w:r>
        <w:rPr>
          <w:rFonts w:ascii="Calibri" w:cs="Calibri" w:eastAsia="Calibri" w:hAnsi="Calibri"/>
          <w:color w:val="222222"/>
          <w:sz w:val="21"/>
          <w:szCs w:val="21"/>
        </w:rPr>
        <w:t xml:space="preserve">Volunteers</w:t>
      </w:r>
    </w:p>
    <w:p>
      <w:pPr>
        <w:pStyle w:val="ListParagraph"/>
        <w:numPr>
          <w:ilvl w:val="0"/>
          <w:numId w:val="2"/>
        </w:numPr>
        <w:spacing w:after="80"/>
      </w:pPr>
      <w:r>
        <w:rPr>
          <w:rFonts w:ascii="Calibri" w:cs="Calibri" w:eastAsia="Calibri" w:hAnsi="Calibri"/>
          <w:color w:val="222222"/>
          <w:sz w:val="21"/>
          <w:szCs w:val="21"/>
        </w:rPr>
        <w:t xml:space="preserve">Committee Members</w:t>
      </w:r>
    </w:p>
    <w:p>
      <w:pPr>
        <w:pStyle w:val="ListParagraph"/>
        <w:numPr>
          <w:ilvl w:val="0"/>
          <w:numId w:val="2"/>
        </w:numPr>
        <w:spacing w:after="80"/>
      </w:pPr>
      <w:r>
        <w:rPr>
          <w:rFonts w:ascii="Calibri" w:cs="Calibri" w:eastAsia="Calibri" w:hAnsi="Calibri"/>
          <w:color w:val="222222"/>
          <w:sz w:val="21"/>
          <w:szCs w:val="21"/>
        </w:rPr>
        <w:t xml:space="preserve">Independent Contractors</w:t>
      </w:r>
    </w:p>
    <w:p>
      <w:pPr>
        <w:pStyle w:val="ListParagraph"/>
        <w:numPr>
          <w:ilvl w:val="0"/>
          <w:numId w:val="2"/>
        </w:numPr>
        <w:spacing w:after="80"/>
      </w:pPr>
      <w:r>
        <w:rPr>
          <w:rFonts w:ascii="Calibri" w:cs="Calibri" w:eastAsia="Calibri" w:hAnsi="Calibri"/>
          <w:color w:val="222222"/>
          <w:sz w:val="21"/>
          <w:szCs w:val="21"/>
        </w:rPr>
        <w:t xml:space="preserve">Key Advisors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DEFINITIONS</w:t>
      </w:r>
    </w:p>
    <w:p>
      <w:pPr>
        <w:pStyle w:val="Heading2"/>
        <w:spacing w:after="100" w:before="220"/>
      </w:pPr>
      <w:r>
        <w:rPr>
          <w:rFonts w:ascii="Calibri" w:cs="Calibri" w:eastAsia="Calibri" w:hAnsi="Calibri"/>
          <w:b/>
          <w:bCs/>
          <w:color w:val="2B2E6B"/>
          <w:sz w:val="22"/>
          <w:szCs w:val="22"/>
        </w:rPr>
        <w:t xml:space="preserve">Interested Person</w:t>
      </w:r>
    </w:p>
    <w:p>
      <w:pPr>
        <w:spacing w:after="140"/>
      </w:pPr>
      <w:r>
        <w:rPr>
          <w:rFonts w:ascii="Calibri" w:cs="Calibri" w:eastAsia="Calibri" w:hAnsi="Calibri"/>
          <w:b w:val="false"/>
          <w:bCs w:val="false"/>
          <w:i w:val="false"/>
          <w:iCs w:val="false"/>
          <w:color w:val="222222"/>
          <w:sz w:val="21"/>
          <w:szCs w:val="21"/>
        </w:rPr>
        <w:t xml:space="preserve">An Interested Person is any individual covered by this policy who has a direct or indirect financial, personal, or business interest related to a matter before the Corporation.</w:t>
      </w:r>
    </w:p>
    <w:p>
      <w:pPr>
        <w:pStyle w:val="Heading2"/>
        <w:spacing w:after="100" w:before="220"/>
      </w:pPr>
      <w:r>
        <w:rPr>
          <w:rFonts w:ascii="Calibri" w:cs="Calibri" w:eastAsia="Calibri" w:hAnsi="Calibri"/>
          <w:b/>
          <w:bCs/>
          <w:color w:val="2B2E6B"/>
          <w:sz w:val="22"/>
          <w:szCs w:val="22"/>
        </w:rPr>
        <w:t xml:space="preserve">Financial Interest</w:t>
      </w:r>
    </w:p>
    <w:p>
      <w:pPr>
        <w:spacing w:after="140"/>
      </w:pPr>
      <w:r>
        <w:rPr>
          <w:rFonts w:ascii="Calibri" w:cs="Calibri" w:eastAsia="Calibri" w:hAnsi="Calibri"/>
          <w:b w:val="false"/>
          <w:bCs w:val="false"/>
          <w:i w:val="false"/>
          <w:iCs w:val="false"/>
          <w:color w:val="222222"/>
          <w:sz w:val="21"/>
          <w:szCs w:val="21"/>
        </w:rPr>
        <w:t xml:space="preserve">A person has a financial interest if the person, or a family member, has:</w:t>
      </w:r>
    </w:p>
    <w:p>
      <w:pPr>
        <w:pStyle w:val="ListParagraph"/>
        <w:numPr>
          <w:ilvl w:val="0"/>
          <w:numId w:val="2"/>
        </w:numPr>
        <w:spacing w:after="80"/>
      </w:pPr>
      <w:r>
        <w:rPr>
          <w:rFonts w:ascii="Calibri" w:cs="Calibri" w:eastAsia="Calibri" w:hAnsi="Calibri"/>
          <w:color w:val="222222"/>
          <w:sz w:val="21"/>
          <w:szCs w:val="21"/>
        </w:rPr>
        <w:t xml:space="preserve">A compensation arrangement with the Corporation.</w:t>
      </w:r>
    </w:p>
    <w:p>
      <w:pPr>
        <w:pStyle w:val="ListParagraph"/>
        <w:numPr>
          <w:ilvl w:val="0"/>
          <w:numId w:val="2"/>
        </w:numPr>
        <w:spacing w:after="80"/>
      </w:pPr>
      <w:r>
        <w:rPr>
          <w:rFonts w:ascii="Calibri" w:cs="Calibri" w:eastAsia="Calibri" w:hAnsi="Calibri"/>
          <w:color w:val="222222"/>
          <w:sz w:val="21"/>
          <w:szCs w:val="21"/>
        </w:rPr>
        <w:t xml:space="preserve">Ownership or investment interest in a business dealing with the Corporation.</w:t>
      </w:r>
    </w:p>
    <w:p>
      <w:pPr>
        <w:pStyle w:val="ListParagraph"/>
        <w:numPr>
          <w:ilvl w:val="0"/>
          <w:numId w:val="2"/>
        </w:numPr>
        <w:spacing w:after="80"/>
      </w:pPr>
      <w:r>
        <w:rPr>
          <w:rFonts w:ascii="Calibri" w:cs="Calibri" w:eastAsia="Calibri" w:hAnsi="Calibri"/>
          <w:color w:val="222222"/>
          <w:sz w:val="21"/>
          <w:szCs w:val="21"/>
        </w:rPr>
        <w:t xml:space="preserve">A prospective compensation arrangement.</w:t>
      </w:r>
    </w:p>
    <w:p>
      <w:pPr>
        <w:pStyle w:val="ListParagraph"/>
        <w:numPr>
          <w:ilvl w:val="0"/>
          <w:numId w:val="2"/>
        </w:numPr>
        <w:spacing w:after="80"/>
      </w:pPr>
      <w:r>
        <w:rPr>
          <w:rFonts w:ascii="Calibri" w:cs="Calibri" w:eastAsia="Calibri" w:hAnsi="Calibri"/>
          <w:color w:val="222222"/>
          <w:sz w:val="21"/>
          <w:szCs w:val="21"/>
        </w:rPr>
        <w:t xml:space="preserve">A financial benefit resulting from a proposed decision or transaction.</w:t>
      </w:r>
    </w:p>
    <w:p>
      <w:pPr>
        <w:pStyle w:val="ListParagraph"/>
        <w:numPr>
          <w:ilvl w:val="0"/>
          <w:numId w:val="2"/>
        </w:numPr>
        <w:spacing w:after="80"/>
      </w:pPr>
      <w:r>
        <w:rPr>
          <w:rFonts w:ascii="Calibri" w:cs="Calibri" w:eastAsia="Calibri" w:hAnsi="Calibri"/>
          <w:color w:val="222222"/>
          <w:sz w:val="21"/>
          <w:szCs w:val="21"/>
        </w:rPr>
        <w:t xml:space="preserve">An expectation of receiving a financial benefit.</w:t>
      </w:r>
    </w:p>
    <w:p>
      <w:pPr>
        <w:spacing w:after="140"/>
      </w:pPr>
      <w:r>
        <w:rPr>
          <w:rFonts w:ascii="Calibri" w:cs="Calibri" w:eastAsia="Calibri" w:hAnsi="Calibri"/>
          <w:b w:val="false"/>
          <w:bCs w:val="false"/>
          <w:i w:val="false"/>
          <w:iCs w:val="false"/>
          <w:color w:val="222222"/>
          <w:sz w:val="21"/>
          <w:szCs w:val="21"/>
        </w:rPr>
        <w:t xml:space="preserve">Compensation includes: wages, salaries, consulting fees, stipends, housing benefits, reimbursements, contract payments, and other financial benefits.</w:t>
      </w:r>
    </w:p>
    <w:p>
      <w:pPr>
        <w:pStyle w:val="Heading2"/>
        <w:spacing w:after="100" w:before="220"/>
      </w:pPr>
      <w:r>
        <w:rPr>
          <w:rFonts w:ascii="Calibri" w:cs="Calibri" w:eastAsia="Calibri" w:hAnsi="Calibri"/>
          <w:b/>
          <w:bCs/>
          <w:color w:val="2B2E6B"/>
          <w:sz w:val="22"/>
          <w:szCs w:val="22"/>
        </w:rPr>
        <w:t xml:space="preserve">Family Member</w:t>
      </w:r>
    </w:p>
    <w:p>
      <w:pPr>
        <w:spacing w:after="140"/>
      </w:pPr>
      <w:r>
        <w:rPr>
          <w:rFonts w:ascii="Calibri" w:cs="Calibri" w:eastAsia="Calibri" w:hAnsi="Calibri"/>
          <w:b w:val="false"/>
          <w:bCs w:val="false"/>
          <w:i w:val="false"/>
          <w:iCs w:val="false"/>
          <w:color w:val="222222"/>
          <w:sz w:val="21"/>
          <w:szCs w:val="21"/>
        </w:rPr>
        <w:t xml:space="preserve">Family members include: spouse, parent, child, sibling, grandparent, grandchild, domestic partner, and any person residing in the same household.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DUTY TO DISCLOSE</w:t>
      </w:r>
    </w:p>
    <w:p>
      <w:pPr>
        <w:spacing w:after="140"/>
      </w:pPr>
      <w:r>
        <w:rPr>
          <w:rFonts w:ascii="Calibri" w:cs="Calibri" w:eastAsia="Calibri" w:hAnsi="Calibri"/>
          <w:b w:val="false"/>
          <w:bCs w:val="false"/>
          <w:i w:val="false"/>
          <w:iCs w:val="false"/>
          <w:color w:val="222222"/>
          <w:sz w:val="21"/>
          <w:szCs w:val="21"/>
        </w:rPr>
        <w:t xml:space="preserve">Each covered individual has an affirmative duty to disclose any actual, potential, or perceived conflict of interest. Disclosure shall occur before discussion begins, before a vote occurs, and as soon as the conflict becomes known.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PROCEDURES</w:t>
      </w:r>
    </w:p>
    <w:p>
      <w:pPr>
        <w:pStyle w:val="Heading2"/>
        <w:spacing w:after="100" w:before="220"/>
      </w:pPr>
      <w:r>
        <w:rPr>
          <w:rFonts w:ascii="Calibri" w:cs="Calibri" w:eastAsia="Calibri" w:hAnsi="Calibri"/>
          <w:b/>
          <w:bCs/>
          <w:color w:val="2B2E6B"/>
          <w:sz w:val="22"/>
          <w:szCs w:val="22"/>
        </w:rPr>
        <w:t xml:space="preserve">Determination of Conflict</w:t>
      </w:r>
    </w:p>
    <w:p>
      <w:pPr>
        <w:spacing w:after="140"/>
      </w:pPr>
      <w:r>
        <w:rPr>
          <w:rFonts w:ascii="Calibri" w:cs="Calibri" w:eastAsia="Calibri" w:hAnsi="Calibri"/>
          <w:b w:val="false"/>
          <w:bCs w:val="false"/>
          <w:i w:val="false"/>
          <w:iCs w:val="false"/>
          <w:color w:val="222222"/>
          <w:sz w:val="21"/>
          <w:szCs w:val="21"/>
        </w:rPr>
        <w:t xml:space="preserve">After disclosure, the remaining disinterested Directors shall determine whether a conflict exists.</w:t>
      </w:r>
    </w:p>
    <w:p>
      <w:pPr>
        <w:pStyle w:val="Heading2"/>
        <w:spacing w:after="100" w:before="220"/>
      </w:pPr>
      <w:r>
        <w:rPr>
          <w:rFonts w:ascii="Calibri" w:cs="Calibri" w:eastAsia="Calibri" w:hAnsi="Calibri"/>
          <w:b/>
          <w:bCs/>
          <w:color w:val="2B2E6B"/>
          <w:sz w:val="22"/>
          <w:szCs w:val="22"/>
        </w:rPr>
        <w:t xml:space="preserve">Abstention</w:t>
      </w:r>
    </w:p>
    <w:p>
      <w:pPr>
        <w:spacing w:after="140"/>
      </w:pPr>
      <w:r>
        <w:rPr>
          <w:rFonts w:ascii="Calibri" w:cs="Calibri" w:eastAsia="Calibri" w:hAnsi="Calibri"/>
          <w:b w:val="false"/>
          <w:bCs w:val="false"/>
          <w:i w:val="false"/>
          <w:iCs w:val="false"/>
          <w:color w:val="222222"/>
          <w:sz w:val="21"/>
          <w:szCs w:val="21"/>
        </w:rPr>
        <w:t xml:space="preserve">An Interested Person shall refrain from voting, refrain from attempting to influence the vote, and leave the room during discussion if requested by the Board.</w:t>
      </w:r>
    </w:p>
    <w:p>
      <w:pPr>
        <w:pStyle w:val="Heading2"/>
        <w:spacing w:after="100" w:before="220"/>
      </w:pPr>
      <w:r>
        <w:rPr>
          <w:rFonts w:ascii="Calibri" w:cs="Calibri" w:eastAsia="Calibri" w:hAnsi="Calibri"/>
          <w:b/>
          <w:bCs/>
          <w:color w:val="2B2E6B"/>
          <w:sz w:val="22"/>
          <w:szCs w:val="22"/>
        </w:rPr>
        <w:t xml:space="preserve">Board Review</w:t>
      </w:r>
    </w:p>
    <w:p>
      <w:pPr>
        <w:spacing w:after="140"/>
      </w:pPr>
      <w:r>
        <w:rPr>
          <w:rFonts w:ascii="Calibri" w:cs="Calibri" w:eastAsia="Calibri" w:hAnsi="Calibri"/>
          <w:b w:val="false"/>
          <w:bCs w:val="false"/>
          <w:i w:val="false"/>
          <w:iCs w:val="false"/>
          <w:color w:val="222222"/>
          <w:sz w:val="21"/>
          <w:szCs w:val="21"/>
        </w:rPr>
        <w:t xml:space="preserve">The Board shall review available information, consider alternative arrangements when appropriate, and determine whether the proposed action is fair and in the best interest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COMPENSATION MATTERS</w:t>
      </w:r>
    </w:p>
    <w:p>
      <w:pPr>
        <w:spacing w:after="140"/>
      </w:pPr>
      <w:r>
        <w:rPr>
          <w:rFonts w:ascii="Calibri" w:cs="Calibri" w:eastAsia="Calibri" w:hAnsi="Calibri"/>
          <w:b w:val="false"/>
          <w:bCs w:val="false"/>
          <w:i w:val="false"/>
          <w:iCs w:val="false"/>
          <w:color w:val="222222"/>
          <w:sz w:val="21"/>
          <w:szCs w:val="21"/>
        </w:rPr>
        <w:t xml:space="preserve">The Corporation recognizes that Directors or founders may provide valuable services requiring compensation. Any compensation decision involving a Director, Officer, founder, or related party shall:</w:t>
      </w:r>
    </w:p>
    <w:p>
      <w:pPr>
        <w:pStyle w:val="ListParagraph"/>
        <w:numPr>
          <w:ilvl w:val="0"/>
          <w:numId w:val="3"/>
        </w:numPr>
        <w:spacing w:after="100"/>
      </w:pPr>
      <w:r>
        <w:rPr>
          <w:rFonts w:ascii="Calibri" w:cs="Calibri" w:eastAsia="Calibri" w:hAnsi="Calibri"/>
          <w:color w:val="222222"/>
          <w:sz w:val="21"/>
          <w:szCs w:val="21"/>
        </w:rPr>
        <w:t xml:space="preserve">Be reviewed by disinterested Directors.</w:t>
      </w:r>
    </w:p>
    <w:p>
      <w:pPr>
        <w:pStyle w:val="ListParagraph"/>
        <w:numPr>
          <w:ilvl w:val="0"/>
          <w:numId w:val="3"/>
        </w:numPr>
        <w:spacing w:after="100"/>
      </w:pPr>
      <w:r>
        <w:rPr>
          <w:rFonts w:ascii="Calibri" w:cs="Calibri" w:eastAsia="Calibri" w:hAnsi="Calibri"/>
          <w:color w:val="222222"/>
          <w:sz w:val="21"/>
          <w:szCs w:val="21"/>
        </w:rPr>
        <w:t xml:space="preserve">Be supported by reasonable justification.</w:t>
      </w:r>
    </w:p>
    <w:p>
      <w:pPr>
        <w:pStyle w:val="ListParagraph"/>
        <w:numPr>
          <w:ilvl w:val="0"/>
          <w:numId w:val="3"/>
        </w:numPr>
        <w:spacing w:after="100"/>
      </w:pPr>
      <w:r>
        <w:rPr>
          <w:rFonts w:ascii="Calibri" w:cs="Calibri" w:eastAsia="Calibri" w:hAnsi="Calibri"/>
          <w:color w:val="222222"/>
          <w:sz w:val="21"/>
          <w:szCs w:val="21"/>
        </w:rPr>
        <w:t xml:space="preserve">Be approved prior to payment whenever possible.</w:t>
      </w:r>
    </w:p>
    <w:p>
      <w:pPr>
        <w:pStyle w:val="ListParagraph"/>
        <w:numPr>
          <w:ilvl w:val="0"/>
          <w:numId w:val="3"/>
        </w:numPr>
        <w:spacing w:after="100"/>
      </w:pPr>
      <w:r>
        <w:rPr>
          <w:rFonts w:ascii="Calibri" w:cs="Calibri" w:eastAsia="Calibri" w:hAnsi="Calibri"/>
          <w:color w:val="222222"/>
          <w:sz w:val="21"/>
          <w:szCs w:val="21"/>
        </w:rPr>
        <w:t xml:space="preserve">Be documented in meeting minutes.</w:t>
      </w:r>
    </w:p>
    <w:p>
      <w:pPr>
        <w:spacing w:after="140"/>
      </w:pPr>
      <w:r>
        <w:rPr>
          <w:rFonts w:ascii="Calibri" w:cs="Calibri" w:eastAsia="Calibri" w:hAnsi="Calibri"/>
          <w:b w:val="false"/>
          <w:bCs w:val="false"/>
          <w:i w:val="false"/>
          <w:iCs w:val="false"/>
          <w:color w:val="222222"/>
          <w:sz w:val="21"/>
          <w:szCs w:val="21"/>
        </w:rPr>
        <w:t xml:space="preserve">Interested individuals shall not vote on their own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SPECIAL FOUNDER DISCLOSURES</w:t>
      </w:r>
    </w:p>
    <w:p>
      <w:pPr>
        <w:spacing w:after="140"/>
      </w:pPr>
      <w:r>
        <w:rPr>
          <w:rFonts w:ascii="Calibri" w:cs="Calibri" w:eastAsia="Calibri" w:hAnsi="Calibri"/>
          <w:b w:val="false"/>
          <w:bCs w:val="false"/>
          <w:i w:val="false"/>
          <w:iCs w:val="false"/>
          <w:color w:val="222222"/>
          <w:sz w:val="21"/>
          <w:szCs w:val="21"/>
        </w:rPr>
        <w:t xml:space="preserve">The Board acknowledges that founders may serve operational roles within the Corporation. If a founder receives compensation, reimbursement, or contractual payment, the Board shall document the nature of services provided, document approval of compensation, record abstentions from voting, and maintain records supporting the reasonableness of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RECORD OF PROCEEDINGS</w:t>
      </w:r>
    </w:p>
    <w:p>
      <w:pPr>
        <w:spacing w:after="140"/>
      </w:pPr>
      <w:r>
        <w:rPr>
          <w:rFonts w:ascii="Calibri" w:cs="Calibri" w:eastAsia="Calibri" w:hAnsi="Calibri"/>
          <w:b w:val="false"/>
          <w:bCs w:val="false"/>
          <w:i w:val="false"/>
          <w:iCs w:val="false"/>
          <w:color w:val="222222"/>
          <w:sz w:val="21"/>
          <w:szCs w:val="21"/>
        </w:rPr>
        <w:t xml:space="preserve">The minutes of Board meetings involving conflicts of interest shall include the name of the interested person, the nature of the conflict, the names of individuals participating in discussion, alternative options considered, voting results, and the final determination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VIOLATIONS OF POLICY</w:t>
      </w:r>
    </w:p>
    <w:p>
      <w:pPr>
        <w:spacing w:after="140"/>
      </w:pPr>
      <w:r>
        <w:rPr>
          <w:rFonts w:ascii="Calibri" w:cs="Calibri" w:eastAsia="Calibri" w:hAnsi="Calibri"/>
          <w:b w:val="false"/>
          <w:bCs w:val="false"/>
          <w:i w:val="false"/>
          <w:iCs w:val="false"/>
          <w:color w:val="222222"/>
          <w:sz w:val="21"/>
          <w:szCs w:val="21"/>
        </w:rPr>
        <w:t xml:space="preserve">If the Board has reason to believe an individual has failed to disclose a conflict: (1) the individual shall be informed of the concern; (2) the individual shall have an opportunity to explain; (3) the Board may investigate the matter; and (4) corrective action may be taken if appropriate. Possible corrective actions include a written warning, removal from committee service, removal from officer position, or a recommendation for Board action consistent with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CONFIDENTIALITY</w:t>
      </w:r>
    </w:p>
    <w:p>
      <w:pPr>
        <w:spacing w:after="140"/>
      </w:pPr>
      <w:r>
        <w:rPr>
          <w:rFonts w:ascii="Calibri" w:cs="Calibri" w:eastAsia="Calibri" w:hAnsi="Calibri"/>
          <w:b w:val="false"/>
          <w:bCs w:val="false"/>
          <w:i w:val="false"/>
          <w:iCs w:val="false"/>
          <w:color w:val="222222"/>
          <w:sz w:val="21"/>
          <w:szCs w:val="21"/>
        </w:rPr>
        <w:t xml:space="preserve">Information disclosed through this policy shall be kept confidential to the extent practical and permitted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ANNUAL DISCLOSURE REQUIREMENT</w:t>
      </w:r>
    </w:p>
    <w:p>
      <w:pPr>
        <w:spacing w:after="140"/>
      </w:pPr>
      <w:r>
        <w:rPr>
          <w:rFonts w:ascii="Calibri" w:cs="Calibri" w:eastAsia="Calibri" w:hAnsi="Calibri"/>
          <w:b w:val="false"/>
          <w:bCs w:val="false"/>
          <w:i w:val="false"/>
          <w:iCs w:val="false"/>
          <w:color w:val="222222"/>
          <w:sz w:val="21"/>
          <w:szCs w:val="21"/>
        </w:rPr>
        <w:t xml:space="preserve">Each Director and Officer shall annually complete and sign a Conflict of Interest Disclosure Statement. Signed statements shall be maintained with the Corporation’s official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This Conflict of Interest Policy was duly adopted by the Board of Directors of AGHF Inc. on the date indicated below.</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Maggie Baty, Chairperson</w:t>
      </w:r>
    </w:p>
    <w:p>
      <w:pPr>
        <w:spacing w:after="200"/>
      </w:pPr>
      <w:r>
        <w:rPr>
          <w:rFonts w:ascii="Calibri" w:cs="Calibri" w:eastAsia="Calibri" w:hAnsi="Calibri"/>
          <w:color w:val="666666"/>
          <w:sz w:val="19"/>
          <w:szCs w:val="19"/>
        </w:rPr>
        <w:t xml:space="preserve">Date: ______________________________</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Christopher Pearce, Secretary</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Conflict of Interest Policy</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2026-07-25T00:22:01.024Z</dcterms:created>
  <dcterms:modified xsi:type="dcterms:W3CDTF">2026-07-25T00:22:01.024Z</dcterms:modified>
</cp:coreProperties>
</file>

<file path=docProps/custom.xml><?xml version="1.0" encoding="utf-8"?>
<Properties xmlns="http://schemas.openxmlformats.org/officeDocument/2006/custom-properties" xmlns:vt="http://schemas.openxmlformats.org/officeDocument/2006/docPropsVTypes"/>
</file>