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40" w:before="200"/>
        <w:jc w:val="center"/>
      </w:pPr>
      <w:r>
        <w:rPr>
          <w:rFonts w:ascii="Calibri" w:cs="Calibri" w:eastAsia="Calibri" w:hAnsi="Calibri"/>
          <w:b/>
          <w:bCs/>
          <w:color w:val="1F4E2C"/>
          <w:sz w:val="30"/>
          <w:szCs w:val="30"/>
        </w:rPr>
        <w:t xml:space="preserve">AGHF INC.</w:t>
      </w:r>
    </w:p>
    <w:p>
      <w:pPr>
        <w:spacing w:after="400"/>
        <w:jc w:val="center"/>
      </w:pPr>
      <w:r>
        <w:rPr>
          <w:rFonts w:ascii="Calibri" w:cs="Calibri" w:eastAsia="Calibri" w:hAnsi="Calibri"/>
          <w:i/>
          <w:iCs/>
          <w:color w:val="666666"/>
          <w:sz w:val="24"/>
          <w:szCs w:val="24"/>
        </w:rPr>
        <w:t xml:space="preserve">d/b/a AgroHouse Foundation</w:t>
      </w:r>
    </w:p>
    <w:p>
      <w:pPr>
        <w:pBdr>
          <w:top w:val="single" w:color="B8860B" w:sz="6" w:space="8"/>
          <w:bottom w:val="single" w:color="B8860B" w:sz="6" w:space="8"/>
        </w:pBdr>
        <w:spacing w:after="300" w:before="300"/>
        <w:jc w:val="center"/>
      </w:pPr>
      <w:r>
        <w:rPr>
          <w:rFonts w:ascii="Calibri" w:cs="Calibri" w:eastAsia="Calibri" w:hAnsi="Calibri"/>
          <w:b/>
          <w:bCs/>
          <w:color w:val="1F4E2C"/>
          <w:sz w:val="44"/>
          <w:szCs w:val="44"/>
        </w:rPr>
        <w:t xml:space="preserve">WHISTLEBLOWER POLICY</w:t>
      </w:r>
    </w:p>
    <w:p>
      <w:pPr>
        <w:spacing w:after="600"/>
        <w:jc w:val="center"/>
      </w:pPr>
      <w:r>
        <w:rPr>
          <w:rFonts w:ascii="Calibri" w:cs="Calibri" w:eastAsia="Calibri" w:hAnsi="Calibri"/>
          <w:color w:val="222222"/>
          <w:sz w:val="24"/>
          <w:szCs w:val="24"/>
        </w:rPr>
        <w:t xml:space="preserve">AGHF Inc. d/b/a AgroHouse Foundation</w:t>
      </w:r>
    </w:p>
    <w:p>
      <w:pPr>
        <w:spacing w:before="800"/>
        <w:jc w:val="center"/>
      </w:pPr>
      <w:r>
        <w:rPr>
          <w:rFonts w:ascii="Calibri" w:cs="Calibri" w:eastAsia="Calibri" w:hAnsi="Calibri"/>
          <w:b/>
          <w:bCs/>
          <w:color w:val="2B2E6B"/>
          <w:sz w:val="20"/>
          <w:szCs w:val="20"/>
        </w:rPr>
        <w:t xml:space="preserve">FOR BOARD ADOPTION</w:t>
      </w:r>
    </w:p>
    <w:p>
      <w:pPr>
        <w:spacing w:before="120"/>
        <w:jc w:val="center"/>
      </w:pPr>
      <w:r>
        <w:rPr>
          <w:rFonts w:ascii="Calibri" w:cs="Calibri" w:eastAsia="Calibri" w:hAnsi="Calibri"/>
          <w:i/>
          <w:iCs/>
          <w:color w:val="666666"/>
          <w:sz w:val="18"/>
          <w:szCs w:val="18"/>
        </w:rPr>
        <w:t xml:space="preserve">Stability • Structure • Growth • Community</w:t>
      </w:r>
    </w:p>
    <w:p>
      <w:r>
        <w:br w:type="page"/>
      </w:r>
    </w:p>
    <w:p>
      <w:pPr>
        <w:spacing w:after="140"/>
      </w:pPr>
      <w:r>
        <w:rPr>
          <w:rFonts w:ascii="Calibri" w:cs="Calibri" w:eastAsia="Calibri" w:hAnsi="Calibri"/>
          <w:b w:val="false"/>
          <w:bCs w:val="false"/>
          <w:i/>
          <w:iCs/>
          <w:color w:val="222222"/>
          <w:sz w:val="21"/>
          <w:szCs w:val="21"/>
        </w:rPr>
        <w:t xml:space="preserve">Adopted: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1. PURPOSE</w:t>
      </w:r>
    </w:p>
    <w:p>
      <w:pPr>
        <w:spacing w:after="140"/>
      </w:pPr>
      <w:r>
        <w:rPr>
          <w:rFonts w:ascii="Calibri" w:cs="Calibri" w:eastAsia="Calibri" w:hAnsi="Calibri"/>
          <w:b w:val="false"/>
          <w:bCs w:val="false"/>
          <w:i w:val="false"/>
          <w:iCs w:val="false"/>
          <w:color w:val="222222"/>
          <w:sz w:val="21"/>
          <w:szCs w:val="21"/>
        </w:rPr>
        <w:t xml:space="preserve">AGHF Inc. d/b/a AgroHouse Foundation (the “Corporation”) requires directors, officers, employees, volunteers, and contractors to observe high standards of business and personal ethics in the conduct of their duties. This policy provides a mechanism for reporting suspected illegal, unethical, or improper conduct and protects individuals who make such reports in good faith from retaliation.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2. REPORTABLE CONDUCT</w:t>
      </w:r>
    </w:p>
    <w:p>
      <w:pPr>
        <w:spacing w:after="140"/>
      </w:pPr>
      <w:r>
        <w:rPr>
          <w:rFonts w:ascii="Calibri" w:cs="Calibri" w:eastAsia="Calibri" w:hAnsi="Calibri"/>
          <w:b w:val="false"/>
          <w:bCs w:val="false"/>
          <w:i w:val="false"/>
          <w:iCs w:val="false"/>
          <w:color w:val="222222"/>
          <w:sz w:val="21"/>
          <w:szCs w:val="21"/>
        </w:rPr>
        <w:t xml:space="preserve">This policy covers concerns regarding, without limitation:</w:t>
      </w:r>
    </w:p>
    <w:p>
      <w:pPr>
        <w:pStyle w:val="ListParagraph"/>
        <w:numPr>
          <w:ilvl w:val="0"/>
          <w:numId w:val="2"/>
        </w:numPr>
        <w:spacing w:after="80"/>
      </w:pPr>
      <w:r>
        <w:rPr>
          <w:rFonts w:ascii="Calibri" w:cs="Calibri" w:eastAsia="Calibri" w:hAnsi="Calibri"/>
          <w:color w:val="222222"/>
          <w:sz w:val="21"/>
          <w:szCs w:val="21"/>
        </w:rPr>
        <w:t xml:space="preserve">Fraud, theft, or financial misconduct.</w:t>
      </w:r>
    </w:p>
    <w:p>
      <w:pPr>
        <w:pStyle w:val="ListParagraph"/>
        <w:numPr>
          <w:ilvl w:val="0"/>
          <w:numId w:val="2"/>
        </w:numPr>
        <w:spacing w:after="80"/>
      </w:pPr>
      <w:r>
        <w:rPr>
          <w:rFonts w:ascii="Calibri" w:cs="Calibri" w:eastAsia="Calibri" w:hAnsi="Calibri"/>
          <w:color w:val="222222"/>
          <w:sz w:val="21"/>
          <w:szCs w:val="21"/>
        </w:rPr>
        <w:t xml:space="preserve">Violations of law or regulation.</w:t>
      </w:r>
    </w:p>
    <w:p>
      <w:pPr>
        <w:pStyle w:val="ListParagraph"/>
        <w:numPr>
          <w:ilvl w:val="0"/>
          <w:numId w:val="2"/>
        </w:numPr>
        <w:spacing w:after="80"/>
      </w:pPr>
      <w:r>
        <w:rPr>
          <w:rFonts w:ascii="Calibri" w:cs="Calibri" w:eastAsia="Calibri" w:hAnsi="Calibri"/>
          <w:color w:val="222222"/>
          <w:sz w:val="21"/>
          <w:szCs w:val="21"/>
        </w:rPr>
        <w:t xml:space="preserve">Violations of the Corporation’s Conflict of Interest Policy or Code of Ethics Policy.</w:t>
      </w:r>
    </w:p>
    <w:p>
      <w:pPr>
        <w:pStyle w:val="ListParagraph"/>
        <w:numPr>
          <w:ilvl w:val="0"/>
          <w:numId w:val="2"/>
        </w:numPr>
        <w:spacing w:after="80"/>
      </w:pPr>
      <w:r>
        <w:rPr>
          <w:rFonts w:ascii="Calibri" w:cs="Calibri" w:eastAsia="Calibri" w:hAnsi="Calibri"/>
          <w:color w:val="222222"/>
          <w:sz w:val="21"/>
          <w:szCs w:val="21"/>
        </w:rPr>
        <w:t xml:space="preserve">Misuse of Corporation resources, grants, or donations.</w:t>
      </w:r>
    </w:p>
    <w:p>
      <w:pPr>
        <w:pStyle w:val="ListParagraph"/>
        <w:numPr>
          <w:ilvl w:val="0"/>
          <w:numId w:val="2"/>
        </w:numPr>
        <w:spacing w:after="80"/>
      </w:pPr>
      <w:r>
        <w:rPr>
          <w:rFonts w:ascii="Calibri" w:cs="Calibri" w:eastAsia="Calibri" w:hAnsi="Calibri"/>
          <w:color w:val="222222"/>
          <w:sz w:val="21"/>
          <w:szCs w:val="21"/>
        </w:rPr>
        <w:t xml:space="preserve">Danger to health, safety, or the environment.</w:t>
      </w:r>
    </w:p>
    <w:p>
      <w:pPr>
        <w:pStyle w:val="ListParagraph"/>
        <w:numPr>
          <w:ilvl w:val="0"/>
          <w:numId w:val="2"/>
        </w:numPr>
        <w:spacing w:after="80"/>
      </w:pPr>
      <w:r>
        <w:rPr>
          <w:rFonts w:ascii="Calibri" w:cs="Calibri" w:eastAsia="Calibri" w:hAnsi="Calibri"/>
          <w:color w:val="222222"/>
          <w:sz w:val="21"/>
          <w:szCs w:val="21"/>
        </w:rPr>
        <w:t xml:space="preserve">Retaliation against a person who made a good-faith report.</w:t>
      </w:r>
    </w:p>
    <w:p>
      <w:pPr>
        <w:pStyle w:val="Heading1"/>
        <w:pBdr>
          <w:bottom w:val="single" w:color="B8860B" w:sz="4" w:space="4"/>
        </w:pBdr>
        <w:spacing w:after="140" w:before="320"/>
      </w:pPr>
      <w:r>
        <w:rPr>
          <w:rFonts w:ascii="Calibri" w:cs="Calibri" w:eastAsia="Calibri" w:hAnsi="Calibri"/>
          <w:b/>
          <w:bCs/>
          <w:color w:val="1F4E2C"/>
          <w:sz w:val="26"/>
          <w:szCs w:val="26"/>
        </w:rPr>
        <w:t xml:space="preserve">3. NO RETALIATION</w:t>
      </w:r>
    </w:p>
    <w:p>
      <w:pPr>
        <w:spacing w:after="140"/>
      </w:pPr>
      <w:r>
        <w:rPr>
          <w:rFonts w:ascii="Calibri" w:cs="Calibri" w:eastAsia="Calibri" w:hAnsi="Calibri"/>
          <w:b w:val="false"/>
          <w:bCs w:val="false"/>
          <w:i w:val="false"/>
          <w:iCs w:val="false"/>
          <w:color w:val="222222"/>
          <w:sz w:val="21"/>
          <w:szCs w:val="21"/>
        </w:rPr>
        <w:t xml:space="preserve">The Corporation strictly prohibits retaliation against any individual who, in good faith, reports suspected misconduct or participates in an investigation of such a report. Retaliation includes termination, demotion, suspension, harassment, or any other adverse action taken because an individual made a good-faith report.</w:t>
      </w:r>
    </w:p>
    <w:p>
      <w:pPr>
        <w:spacing w:after="140"/>
      </w:pPr>
      <w:r>
        <w:rPr>
          <w:rFonts w:ascii="Calibri" w:cs="Calibri" w:eastAsia="Calibri" w:hAnsi="Calibri"/>
          <w:b w:val="false"/>
          <w:bCs w:val="false"/>
          <w:i w:val="false"/>
          <w:iCs w:val="false"/>
          <w:color w:val="222222"/>
          <w:sz w:val="21"/>
          <w:szCs w:val="21"/>
        </w:rPr>
        <w:t xml:space="preserve">Any individual who retaliates against a person who has reported a concern in good faith is subject to discipline, up to and including removal from the Board, termination of employment, or termination of a volunteer or contractor relationship.</w:t>
      </w:r>
    </w:p>
    <w:p>
      <w:pPr>
        <w:pStyle w:val="Heading1"/>
        <w:pBdr>
          <w:bottom w:val="single" w:color="B8860B" w:sz="4" w:space="4"/>
        </w:pBdr>
        <w:spacing w:after="140" w:before="320"/>
      </w:pPr>
      <w:r>
        <w:rPr>
          <w:rFonts w:ascii="Calibri" w:cs="Calibri" w:eastAsia="Calibri" w:hAnsi="Calibri"/>
          <w:b/>
          <w:bCs/>
          <w:color w:val="1F4E2C"/>
          <w:sz w:val="26"/>
          <w:szCs w:val="26"/>
        </w:rPr>
        <w:t xml:space="preserve">4. REPORTING PROCEDURE</w:t>
      </w:r>
    </w:p>
    <w:p>
      <w:pPr>
        <w:spacing w:after="140"/>
      </w:pPr>
      <w:r>
        <w:rPr>
          <w:rFonts w:ascii="Calibri" w:cs="Calibri" w:eastAsia="Calibri" w:hAnsi="Calibri"/>
          <w:b w:val="false"/>
          <w:bCs w:val="false"/>
          <w:i w:val="false"/>
          <w:iCs w:val="false"/>
          <w:color w:val="222222"/>
          <w:sz w:val="21"/>
          <w:szCs w:val="21"/>
        </w:rPr>
        <w:t xml:space="preserve">Concerns should be reported as soon as possible after the individual becomes aware of the issue, through one of the following channels:</w:t>
      </w:r>
    </w:p>
    <w:p>
      <w:pPr>
        <w:pStyle w:val="ListParagraph"/>
        <w:numPr>
          <w:ilvl w:val="0"/>
          <w:numId w:val="3"/>
        </w:numPr>
        <w:spacing w:after="100"/>
      </w:pPr>
      <w:r>
        <w:rPr>
          <w:rFonts w:ascii="Calibri" w:cs="Calibri" w:eastAsia="Calibri" w:hAnsi="Calibri"/>
          <w:color w:val="222222"/>
          <w:sz w:val="21"/>
          <w:szCs w:val="21"/>
        </w:rPr>
        <w:t xml:space="preserve">Direct report to the Board Chairperson.</w:t>
      </w:r>
    </w:p>
    <w:p>
      <w:pPr>
        <w:pStyle w:val="ListParagraph"/>
        <w:numPr>
          <w:ilvl w:val="0"/>
          <w:numId w:val="3"/>
        </w:numPr>
        <w:spacing w:after="100"/>
      </w:pPr>
      <w:r>
        <w:rPr>
          <w:rFonts w:ascii="Calibri" w:cs="Calibri" w:eastAsia="Calibri" w:hAnsi="Calibri"/>
          <w:color w:val="222222"/>
          <w:sz w:val="21"/>
          <w:szCs w:val="21"/>
        </w:rPr>
        <w:t xml:space="preserve">Direct report to the Treasurer or Secretary if the concern involves the Chairperson.</w:t>
      </w:r>
    </w:p>
    <w:p>
      <w:pPr>
        <w:pStyle w:val="ListParagraph"/>
        <w:numPr>
          <w:ilvl w:val="0"/>
          <w:numId w:val="3"/>
        </w:numPr>
        <w:spacing w:after="100"/>
      </w:pPr>
      <w:r>
        <w:rPr>
          <w:rFonts w:ascii="Calibri" w:cs="Calibri" w:eastAsia="Calibri" w:hAnsi="Calibri"/>
          <w:color w:val="222222"/>
          <w:sz w:val="21"/>
          <w:szCs w:val="21"/>
        </w:rPr>
        <w:t xml:space="preserve">Written report submitted to any Director if the concern involves Corporation leadership generally.</w:t>
      </w:r>
    </w:p>
    <w:p>
      <w:pPr>
        <w:spacing w:after="140"/>
      </w:pPr>
      <w:r>
        <w:rPr>
          <w:rFonts w:ascii="Calibri" w:cs="Calibri" w:eastAsia="Calibri" w:hAnsi="Calibri"/>
          <w:b w:val="false"/>
          <w:bCs w:val="false"/>
          <w:i w:val="false"/>
          <w:iCs w:val="false"/>
          <w:color w:val="222222"/>
          <w:sz w:val="21"/>
          <w:szCs w:val="21"/>
        </w:rPr>
        <w:t xml:space="preserve">Reports may be made verbally or in writing, and may be made anonymously. Anonymous reports will be investigated to the extent possible given the information provided.</w:t>
      </w:r>
    </w:p>
    <w:p>
      <w:pPr>
        <w:pStyle w:val="Heading1"/>
        <w:pBdr>
          <w:bottom w:val="single" w:color="B8860B" w:sz="4" w:space="4"/>
        </w:pBdr>
        <w:spacing w:after="140" w:before="320"/>
      </w:pPr>
      <w:r>
        <w:rPr>
          <w:rFonts w:ascii="Calibri" w:cs="Calibri" w:eastAsia="Calibri" w:hAnsi="Calibri"/>
          <w:b/>
          <w:bCs/>
          <w:color w:val="1F4E2C"/>
          <w:sz w:val="26"/>
          <w:szCs w:val="26"/>
        </w:rPr>
        <w:t xml:space="preserve">5. HANDLING OF REPORTS</w:t>
      </w:r>
    </w:p>
    <w:p>
      <w:pPr>
        <w:spacing w:after="140"/>
      </w:pPr>
      <w:r>
        <w:rPr>
          <w:rFonts w:ascii="Calibri" w:cs="Calibri" w:eastAsia="Calibri" w:hAnsi="Calibri"/>
          <w:b w:val="false"/>
          <w:bCs w:val="false"/>
          <w:i w:val="false"/>
          <w:iCs w:val="false"/>
          <w:color w:val="222222"/>
          <w:sz w:val="21"/>
          <w:szCs w:val="21"/>
        </w:rPr>
        <w:t xml:space="preserve">Upon receipt of a report, the recipient shall promptly notify the Chairperson (or, if the Chairperson is implicated, the Vice Chairperson), who shall ensure the matter is investigated in a timely and objective manner. Directors who are subjects of, or otherwise conflicted with respect to, a report shall recuse themselves from the investigation and any related Board decision, consistent with the Conflict of Interest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6. CONFIDENTIALITY</w:t>
      </w:r>
    </w:p>
    <w:p>
      <w:pPr>
        <w:spacing w:after="140"/>
      </w:pPr>
      <w:r>
        <w:rPr>
          <w:rFonts w:ascii="Calibri" w:cs="Calibri" w:eastAsia="Calibri" w:hAnsi="Calibri"/>
          <w:b w:val="false"/>
          <w:bCs w:val="false"/>
          <w:i w:val="false"/>
          <w:iCs w:val="false"/>
          <w:color w:val="222222"/>
          <w:sz w:val="21"/>
          <w:szCs w:val="21"/>
        </w:rPr>
        <w:t xml:space="preserve">Reports will be kept confidential to the extent possible, consistent with the need to conduct an adequate investigation and comply with legal requirements.</w:t>
      </w:r>
    </w:p>
    <w:p>
      <w:pPr>
        <w:pStyle w:val="Heading1"/>
        <w:pBdr>
          <w:bottom w:val="single" w:color="B8860B" w:sz="4" w:space="4"/>
        </w:pBdr>
        <w:spacing w:after="140" w:before="320"/>
      </w:pPr>
      <w:r>
        <w:rPr>
          <w:rFonts w:ascii="Calibri" w:cs="Calibri" w:eastAsia="Calibri" w:hAnsi="Calibri"/>
          <w:b/>
          <w:bCs/>
          <w:color w:val="1F4E2C"/>
          <w:sz w:val="26"/>
          <w:szCs w:val="26"/>
        </w:rPr>
        <w:t xml:space="preserve">7. DOCUMENTATION</w:t>
      </w:r>
    </w:p>
    <w:p>
      <w:pPr>
        <w:spacing w:after="140"/>
      </w:pPr>
      <w:r>
        <w:rPr>
          <w:rFonts w:ascii="Calibri" w:cs="Calibri" w:eastAsia="Calibri" w:hAnsi="Calibri"/>
          <w:b w:val="false"/>
          <w:bCs w:val="false"/>
          <w:i w:val="false"/>
          <w:iCs w:val="false"/>
          <w:color w:val="222222"/>
          <w:sz w:val="21"/>
          <w:szCs w:val="21"/>
        </w:rPr>
        <w:t xml:space="preserve">All reports and the outcome of any investigation shall be documented in writing and retained in accordance with the Corporation’s Record Retention &amp; Document Destruction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8. ADMINISTRATION</w:t>
      </w:r>
    </w:p>
    <w:p>
      <w:pPr>
        <w:spacing w:after="140"/>
      </w:pPr>
      <w:r>
        <w:rPr>
          <w:rFonts w:ascii="Calibri" w:cs="Calibri" w:eastAsia="Calibri" w:hAnsi="Calibri"/>
          <w:b w:val="false"/>
          <w:bCs w:val="false"/>
          <w:i w:val="false"/>
          <w:iCs w:val="false"/>
          <w:color w:val="222222"/>
          <w:sz w:val="21"/>
          <w:szCs w:val="21"/>
        </w:rPr>
        <w:t xml:space="preserve">The Board of Directors is responsible for the administration of this policy and shall periodically review this policy to ensure ongoing compliance with applicable law and best practices in nonprofit governance.</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40" w:before="300"/>
      </w:pPr>
      <w:r>
        <w:rPr>
          <w:rFonts w:ascii="Calibri" w:cs="Calibri" w:eastAsia="Calibri" w:hAnsi="Calibri"/>
          <w:sz w:val="21"/>
          <w:szCs w:val="21"/>
        </w:rPr>
        <w:t xml:space="preserve">X ________________________________________</w:t>
      </w:r>
    </w:p>
    <w:p>
      <w:pPr>
        <w:spacing w:after="20"/>
      </w:pPr>
      <w:r>
        <w:rPr>
          <w:rFonts w:ascii="Calibri" w:cs="Calibri" w:eastAsia="Calibri" w:hAnsi="Calibri"/>
          <w:color w:val="666666"/>
          <w:sz w:val="19"/>
          <w:szCs w:val="19"/>
        </w:rPr>
        <w:t xml:space="preserve">Maggie Baty, Chairperson</w:t>
      </w:r>
    </w:p>
    <w:p>
      <w:pPr>
        <w:spacing w:after="200"/>
      </w:pPr>
      <w:r>
        <w:rPr>
          <w:rFonts w:ascii="Calibri" w:cs="Calibri" w:eastAsia="Calibri" w:hAnsi="Calibri"/>
          <w:color w:val="666666"/>
          <w:sz w:val="19"/>
          <w:szCs w:val="19"/>
        </w:rPr>
        <w:t xml:space="preserve">Date: ______________________________</w:t>
      </w:r>
    </w:p>
    <w:p>
      <w:pPr>
        <w:spacing w:after="40" w:before="300"/>
      </w:pPr>
      <w:r>
        <w:rPr>
          <w:rFonts w:ascii="Calibri" w:cs="Calibri" w:eastAsia="Calibri" w:hAnsi="Calibri"/>
          <w:sz w:val="21"/>
          <w:szCs w:val="21"/>
        </w:rPr>
        <w:t xml:space="preserve">X ________________________________________</w:t>
      </w:r>
    </w:p>
    <w:p>
      <w:pPr>
        <w:spacing w:after="20"/>
      </w:pPr>
      <w:r>
        <w:rPr>
          <w:rFonts w:ascii="Calibri" w:cs="Calibri" w:eastAsia="Calibri" w:hAnsi="Calibri"/>
          <w:color w:val="666666"/>
          <w:sz w:val="19"/>
          <w:szCs w:val="19"/>
        </w:rPr>
        <w:t xml:space="preserve">Christopher Pearce, Secretary</w:t>
      </w:r>
    </w:p>
    <w:p>
      <w:pPr>
        <w:spacing w:after="200"/>
      </w:pPr>
      <w:r>
        <w:rPr>
          <w:rFonts w:ascii="Calibri" w:cs="Calibri" w:eastAsia="Calibri" w:hAnsi="Calibri"/>
          <w:color w:val="666666"/>
          <w:sz w:val="19"/>
          <w:szCs w:val="19"/>
        </w:rPr>
        <w:t xml:space="preserve">Date: ______________________________</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FCF" w:sz="4" w:space="4"/>
      </w:pBdr>
      <w:tabs>
        <w:tab w:val="right" w:pos="9360"/>
      </w:tabs>
    </w:pPr>
    <w:r>
      <w:rPr>
        <w:rFonts w:ascii="Calibri" w:cs="Calibri" w:eastAsia="Calibri" w:hAnsi="Calibri"/>
        <w:color w:val="666666"/>
        <w:sz w:val="15"/>
        <w:szCs w:val="15"/>
      </w:rPr>
      <w:t xml:space="preserve">AGHF Inc. d/b/a AgroHouse Foundation — Whistleblower Policy</w:t>
    </w:r>
    <w:r>
      <w:rPr>
        <w:rFonts w:ascii="Calibri" w:cs="Calibri" w:eastAsia="Calibri" w:hAnsi="Calibri"/>
      </w:rPr>
      <w:t xml:space="preserve">	</w:t>
    </w:r>
    <w:r>
      <w:rPr>
        <w:rFonts w:ascii="Calibri" w:cs="Calibri" w:eastAsia="Calibri" w:hAnsi="Calibri"/>
        <w:color w:val="666666"/>
        <w:sz w:val="15"/>
        <w:szCs w:val="15"/>
      </w:rPr>
      <w:t xml:space="preserve">Page </w:t>
    </w:r>
    <w:r>
      <w:rPr>
        <w:rFonts w:ascii="Calibri" w:cs="Calibri" w:eastAsia="Calibri" w:hAnsi="Calibri"/>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AgroHouse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e57656b7076b9525340e8ef023eedcce8cdb5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2026-07-25T00:22:01.355Z</dcterms:created>
  <dcterms:modified xsi:type="dcterms:W3CDTF">2026-07-25T00:22:01.355Z</dcterms:modified>
</cp:coreProperties>
</file>

<file path=docProps/custom.xml><?xml version="1.0" encoding="utf-8"?>
<Properties xmlns="http://schemas.openxmlformats.org/officeDocument/2006/custom-properties" xmlns:vt="http://schemas.openxmlformats.org/officeDocument/2006/docPropsVTypes"/>
</file>