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1905000"/>
                    </a:xfrm>
                    <a:prstGeom prst="rect">
                      <a:avLst/>
                    </a:prstGeom>
                  </pic:spPr>
                </pic:pic>
              </a:graphicData>
            </a:graphic>
          </wp:inline>
        </w:drawing>
      </w:r>
    </w:p>
    <w:p>
      <w:pPr>
        <w:spacing w:after="40" w:before="200"/>
        <w:jc w:val="center"/>
      </w:pPr>
      <w:r>
        <w:rPr>
          <w:rFonts w:ascii="Calibri" w:cs="Calibri" w:eastAsia="Calibri" w:hAnsi="Calibri"/>
          <w:b/>
          <w:bCs/>
          <w:color w:val="1F4E2C"/>
          <w:sz w:val="30"/>
          <w:szCs w:val="30"/>
        </w:rPr>
        <w:t xml:space="preserve">AGHF INC.</w:t>
      </w:r>
    </w:p>
    <w:p>
      <w:pPr>
        <w:spacing w:after="400"/>
        <w:jc w:val="center"/>
      </w:pPr>
      <w:r>
        <w:rPr>
          <w:rFonts w:ascii="Calibri" w:cs="Calibri" w:eastAsia="Calibri" w:hAnsi="Calibri"/>
          <w:i/>
          <w:iCs/>
          <w:color w:val="666666"/>
          <w:sz w:val="24"/>
          <w:szCs w:val="24"/>
        </w:rPr>
        <w:t xml:space="preserve">d/b/a AgroHouse Foundation</w:t>
      </w:r>
    </w:p>
    <w:p>
      <w:pPr>
        <w:pBdr>
          <w:top w:val="single" w:color="B8860B" w:sz="6" w:space="8"/>
          <w:bottom w:val="single" w:color="B8860B" w:sz="6" w:space="8"/>
        </w:pBdr>
        <w:spacing w:after="300" w:before="300"/>
        <w:jc w:val="center"/>
      </w:pPr>
      <w:r>
        <w:rPr>
          <w:rFonts w:ascii="Calibri" w:cs="Calibri" w:eastAsia="Calibri" w:hAnsi="Calibri"/>
          <w:b/>
          <w:bCs/>
          <w:color w:val="1F4E2C"/>
          <w:sz w:val="44"/>
          <w:szCs w:val="44"/>
        </w:rPr>
        <w:t xml:space="preserve">RECORD RETENTION &amp; DOCUMENT DESTRUCTION POLICY</w:t>
      </w:r>
    </w:p>
    <w:p>
      <w:pPr>
        <w:spacing w:after="600"/>
        <w:jc w:val="center"/>
      </w:pPr>
      <w:r>
        <w:rPr>
          <w:rFonts w:ascii="Calibri" w:cs="Calibri" w:eastAsia="Calibri" w:hAnsi="Calibri"/>
          <w:color w:val="222222"/>
          <w:sz w:val="24"/>
          <w:szCs w:val="24"/>
        </w:rPr>
        <w:t xml:space="preserve">AGHF Inc. d/b/a AgroHouse Foundation</w:t>
      </w:r>
    </w:p>
    <w:p>
      <w:pPr>
        <w:spacing w:before="800"/>
        <w:jc w:val="center"/>
      </w:pPr>
      <w:r>
        <w:rPr>
          <w:rFonts w:ascii="Calibri" w:cs="Calibri" w:eastAsia="Calibri" w:hAnsi="Calibri"/>
          <w:b/>
          <w:bCs/>
          <w:color w:val="2B2E6B"/>
          <w:sz w:val="20"/>
          <w:szCs w:val="20"/>
        </w:rPr>
        <w:t xml:space="preserve">FOR BOARD ADOPTION</w:t>
      </w:r>
    </w:p>
    <w:p>
      <w:pPr>
        <w:spacing w:before="120"/>
        <w:jc w:val="center"/>
      </w:pPr>
      <w:r>
        <w:rPr>
          <w:rFonts w:ascii="Calibri" w:cs="Calibri" w:eastAsia="Calibri" w:hAnsi="Calibri"/>
          <w:i/>
          <w:iCs/>
          <w:color w:val="666666"/>
          <w:sz w:val="18"/>
          <w:szCs w:val="18"/>
        </w:rPr>
        <w:t xml:space="preserve">Stability • Structure • Growth • Community</w:t>
      </w:r>
    </w:p>
    <w:p>
      <w:r>
        <w:br w:type="page"/>
      </w:r>
    </w:p>
    <w:p>
      <w:pPr>
        <w:spacing w:after="140"/>
      </w:pPr>
      <w:r>
        <w:rPr>
          <w:rFonts w:ascii="Calibri" w:cs="Calibri" w:eastAsia="Calibri" w:hAnsi="Calibri"/>
          <w:b w:val="false"/>
          <w:bCs w:val="false"/>
          <w:i/>
          <w:iCs/>
          <w:color w:val="222222"/>
          <w:sz w:val="21"/>
          <w:szCs w:val="21"/>
        </w:rPr>
        <w:t xml:space="preserve">Adopted: ______________________________</w:t>
      </w:r>
    </w:p>
    <w:p>
      <w:pPr>
        <w:pStyle w:val="Heading1"/>
        <w:pBdr>
          <w:bottom w:val="single" w:color="B8860B" w:sz="4" w:space="4"/>
        </w:pBdr>
        <w:spacing w:after="140" w:before="320"/>
      </w:pPr>
      <w:r>
        <w:rPr>
          <w:rFonts w:ascii="Calibri" w:cs="Calibri" w:eastAsia="Calibri" w:hAnsi="Calibri"/>
          <w:b/>
          <w:bCs/>
          <w:color w:val="1F4E2C"/>
          <w:sz w:val="26"/>
          <w:szCs w:val="26"/>
        </w:rPr>
        <w:t xml:space="preserve">1. PURPOSE</w:t>
      </w:r>
    </w:p>
    <w:p>
      <w:pPr>
        <w:spacing w:after="140"/>
      </w:pPr>
      <w:r>
        <w:rPr>
          <w:rFonts w:ascii="Calibri" w:cs="Calibri" w:eastAsia="Calibri" w:hAnsi="Calibri"/>
          <w:b w:val="false"/>
          <w:bCs w:val="false"/>
          <w:i w:val="false"/>
          <w:iCs w:val="false"/>
          <w:color w:val="222222"/>
          <w:sz w:val="21"/>
          <w:szCs w:val="21"/>
        </w:rPr>
        <w:t xml:space="preserve">This policy establishes guidelines for the retention and destruction of AGHF Inc. d/b/a AgroHouse Foundation (the “Corporation”) records, and ensures compliance with applicable federal and Florida law, including record-retention obligations associated with 501(c)(3) tax-exempt status.</w:t>
      </w:r>
    </w:p>
    <w:p>
      <w:pPr>
        <w:pStyle w:val="Heading1"/>
        <w:pBdr>
          <w:bottom w:val="single" w:color="B8860B" w:sz="4" w:space="4"/>
        </w:pBdr>
        <w:spacing w:after="140" w:before="320"/>
      </w:pPr>
      <w:r>
        <w:rPr>
          <w:rFonts w:ascii="Calibri" w:cs="Calibri" w:eastAsia="Calibri" w:hAnsi="Calibri"/>
          <w:b/>
          <w:bCs/>
          <w:color w:val="1F4E2C"/>
          <w:sz w:val="26"/>
          <w:szCs w:val="26"/>
        </w:rPr>
        <w:t xml:space="preserve">2. LEGAL HOLD</w:t>
      </w:r>
    </w:p>
    <w:p>
      <w:pPr>
        <w:spacing w:after="140"/>
      </w:pPr>
      <w:r>
        <w:rPr>
          <w:rFonts w:ascii="Calibri" w:cs="Calibri" w:eastAsia="Calibri" w:hAnsi="Calibri"/>
          <w:b w:val="false"/>
          <w:bCs w:val="false"/>
          <w:i w:val="false"/>
          <w:iCs w:val="false"/>
          <w:color w:val="222222"/>
          <w:sz w:val="21"/>
          <w:szCs w:val="21"/>
        </w:rPr>
        <w:t xml:space="preserve">Notwithstanding the retention periods below, no document shall be destroyed or deleted if it is subject to a pending or reasonably anticipated litigation hold, audit, or government investigation. The Chairperson and Secretary are responsible for suspending destruction of relevant records upon notice of such a hold.</w:t>
      </w:r>
    </w:p>
    <w:p>
      <w:pPr>
        <w:pStyle w:val="Heading1"/>
        <w:pBdr>
          <w:bottom w:val="single" w:color="B8860B" w:sz="4" w:space="4"/>
        </w:pBdr>
        <w:spacing w:after="140" w:before="320"/>
      </w:pPr>
      <w:r>
        <w:rPr>
          <w:rFonts w:ascii="Calibri" w:cs="Calibri" w:eastAsia="Calibri" w:hAnsi="Calibri"/>
          <w:b/>
          <w:bCs/>
          <w:color w:val="1F4E2C"/>
          <w:sz w:val="26"/>
          <w:szCs w:val="26"/>
        </w:rPr>
        <w:t xml:space="preserve">3. RETENTION SCHEDULE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800"/>
        <w:gridCol w:w="4200"/>
      </w:tblGrid>
      <w:tr>
        <w:trPr>
          <w:tblHeader/>
        </w:trPr>
        <w:tc>
          <w:tcPr>
            <w:tcW w:type="dxa" w:w="48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Record Category</w:t>
            </w:r>
          </w:p>
        </w:tc>
        <w:tc>
          <w:tcPr>
            <w:tcW w:type="dxa" w:w="42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Retention Period</w:t>
            </w:r>
          </w:p>
        </w:tc>
      </w:tr>
      <w:tr>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Articles of Incorporation, Bylaws, and amendments</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Permanent</w:t>
            </w:r>
          </w:p>
        </w:tc>
      </w:tr>
      <w:tr>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IRS determination letter and Form 1023/1023-EZ application</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Permanent</w:t>
            </w:r>
          </w:p>
        </w:tc>
      </w:tr>
      <w:tr>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Board meeting minutes and resolutions</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Permanent</w:t>
            </w:r>
          </w:p>
        </w:tc>
      </w:tr>
      <w:tr>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Conflict of Interest Disclosure Statements</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Permanent</w:t>
            </w:r>
          </w:p>
        </w:tc>
      </w:tr>
      <w:tr>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Annual IRS Form 990 filings</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Permanent</w:t>
            </w:r>
          </w:p>
        </w:tc>
      </w:tr>
      <w:tr>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Audited financial statements</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Permanent</w:t>
            </w:r>
          </w:p>
        </w:tc>
      </w:tr>
      <w:tr>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Employment agreements and personnel files (post-termination)</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7 years</w:t>
            </w:r>
          </w:p>
        </w:tc>
      </w:tr>
      <w:tr>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Tax records (payroll, 1099s, W-2s)</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7 years</w:t>
            </w:r>
          </w:p>
        </w:tc>
      </w:tr>
      <w:tr>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Bank statements and reconciliations</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7 years</w:t>
            </w:r>
          </w:p>
        </w:tc>
      </w:tr>
      <w:tr>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Grant agreements and grant reporting records</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7 years after grant closeout</w:t>
            </w:r>
          </w:p>
        </w:tc>
      </w:tr>
      <w:tr>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Contracts and agreements (post-expiration)</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7 years</w:t>
            </w:r>
          </w:p>
        </w:tc>
      </w:tr>
      <w:tr>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Donation and gift acceptance records</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7 years</w:t>
            </w:r>
          </w:p>
        </w:tc>
      </w:tr>
      <w:tr>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Insurance policies (post-expiration)</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7 years</w:t>
            </w:r>
          </w:p>
        </w:tc>
      </w:tr>
      <w:tr>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General correspondence</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3 years</w:t>
            </w:r>
          </w:p>
        </w:tc>
      </w:tr>
      <w:tr>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Routine internal memos and drafts</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1–2 years, or upon replacement by final version</w:t>
            </w:r>
          </w:p>
        </w:tc>
      </w:tr>
      <w:tr>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Meeting agendas and notices</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3 years</w:t>
            </w:r>
          </w:p>
        </w:tc>
      </w:tr>
    </w:tbl>
    <w:p>
      <w:pPr>
        <w:pStyle w:val="Heading1"/>
        <w:pBdr>
          <w:bottom w:val="single" w:color="B8860B" w:sz="4" w:space="4"/>
        </w:pBdr>
        <w:spacing w:after="140" w:before="320"/>
      </w:pPr>
      <w:r>
        <w:rPr>
          <w:rFonts w:ascii="Calibri" w:cs="Calibri" w:eastAsia="Calibri" w:hAnsi="Calibri"/>
          <w:b/>
          <w:bCs/>
          <w:color w:val="1F4E2C"/>
          <w:sz w:val="26"/>
          <w:szCs w:val="26"/>
        </w:rPr>
        <w:t xml:space="preserve">4. ELECTRONIC RECORDS</w:t>
      </w:r>
    </w:p>
    <w:p>
      <w:pPr>
        <w:spacing w:after="140"/>
      </w:pPr>
      <w:r>
        <w:rPr>
          <w:rFonts w:ascii="Calibri" w:cs="Calibri" w:eastAsia="Calibri" w:hAnsi="Calibri"/>
          <w:b w:val="false"/>
          <w:bCs w:val="false"/>
          <w:i w:val="false"/>
          <w:iCs w:val="false"/>
          <w:color w:val="222222"/>
          <w:sz w:val="21"/>
          <w:szCs w:val="21"/>
        </w:rPr>
        <w:t xml:space="preserve">Electronic records, including email, cloud-stored documents, and financial software records, are subject to the same retention periods as their paper equivalents. The Corporation shall maintain reasonable backup and security procedures for electronic records.</w:t>
      </w:r>
    </w:p>
    <w:p>
      <w:pPr>
        <w:pStyle w:val="Heading1"/>
        <w:pBdr>
          <w:bottom w:val="single" w:color="B8860B" w:sz="4" w:space="4"/>
        </w:pBdr>
        <w:spacing w:after="140" w:before="320"/>
      </w:pPr>
      <w:r>
        <w:rPr>
          <w:rFonts w:ascii="Calibri" w:cs="Calibri" w:eastAsia="Calibri" w:hAnsi="Calibri"/>
          <w:b/>
          <w:bCs/>
          <w:color w:val="1F4E2C"/>
          <w:sz w:val="26"/>
          <w:szCs w:val="26"/>
        </w:rPr>
        <w:t xml:space="preserve">5. METHOD OF DESTRUCTION</w:t>
      </w:r>
    </w:p>
    <w:p>
      <w:pPr>
        <w:spacing w:after="140"/>
      </w:pPr>
      <w:r>
        <w:rPr>
          <w:rFonts w:ascii="Calibri" w:cs="Calibri" w:eastAsia="Calibri" w:hAnsi="Calibri"/>
          <w:b w:val="false"/>
          <w:bCs w:val="false"/>
          <w:i w:val="false"/>
          <w:iCs w:val="false"/>
          <w:color w:val="222222"/>
          <w:sz w:val="21"/>
          <w:szCs w:val="21"/>
        </w:rPr>
        <w:t xml:space="preserve">Paper records shall be destroyed by shredding or another method that renders the information unreadable. Electronic records shall be permanently deleted, including from backup systems where feasible, using methods that prevent recovery of confidential information.</w:t>
      </w:r>
    </w:p>
    <w:p>
      <w:pPr>
        <w:pStyle w:val="Heading1"/>
        <w:pBdr>
          <w:bottom w:val="single" w:color="B8860B" w:sz="4" w:space="4"/>
        </w:pBdr>
        <w:spacing w:after="140" w:before="320"/>
      </w:pPr>
      <w:r>
        <w:rPr>
          <w:rFonts w:ascii="Calibri" w:cs="Calibri" w:eastAsia="Calibri" w:hAnsi="Calibri"/>
          <w:b/>
          <w:bCs/>
          <w:color w:val="1F4E2C"/>
          <w:sz w:val="26"/>
          <w:szCs w:val="26"/>
        </w:rPr>
        <w:t xml:space="preserve">6. RESPONSIBILITY</w:t>
      </w:r>
    </w:p>
    <w:p>
      <w:pPr>
        <w:spacing w:after="140"/>
      </w:pPr>
      <w:r>
        <w:rPr>
          <w:rFonts w:ascii="Calibri" w:cs="Calibri" w:eastAsia="Calibri" w:hAnsi="Calibri"/>
          <w:b w:val="false"/>
          <w:bCs w:val="false"/>
          <w:i w:val="false"/>
          <w:iCs w:val="false"/>
          <w:color w:val="222222"/>
          <w:sz w:val="21"/>
          <w:szCs w:val="21"/>
        </w:rPr>
        <w:t xml:space="preserve">The Secretary, in coordination with the Treasurer, is responsible for implementing this policy, maintaining an organized filing system (physical and/or electronic), and periodically reviewing records for destruction eligibility, subject to any legal hold.</w:t>
      </w:r>
    </w:p>
    <w:p>
      <w:pPr>
        <w:pStyle w:val="Heading1"/>
        <w:pBdr>
          <w:bottom w:val="single" w:color="B8860B" w:sz="4" w:space="4"/>
        </w:pBdr>
        <w:spacing w:after="140" w:before="320"/>
      </w:pPr>
      <w:r>
        <w:rPr>
          <w:rFonts w:ascii="Calibri" w:cs="Calibri" w:eastAsia="Calibri" w:hAnsi="Calibri"/>
          <w:b/>
          <w:bCs/>
          <w:color w:val="1F4E2C"/>
          <w:sz w:val="26"/>
          <w:szCs w:val="26"/>
        </w:rPr>
        <w:t xml:space="preserve">7. POLICY REVIEW</w:t>
      </w:r>
    </w:p>
    <w:p>
      <w:pPr>
        <w:spacing w:after="140"/>
      </w:pPr>
      <w:r>
        <w:rPr>
          <w:rFonts w:ascii="Calibri" w:cs="Calibri" w:eastAsia="Calibri" w:hAnsi="Calibri"/>
          <w:b w:val="false"/>
          <w:bCs w:val="false"/>
          <w:i w:val="false"/>
          <w:iCs w:val="false"/>
          <w:color w:val="222222"/>
          <w:sz w:val="21"/>
          <w:szCs w:val="21"/>
        </w:rPr>
        <w:t xml:space="preserve">The Board shall review this policy periodically and update it as necessary to remain consistent with applicable law and best practices.</w:t>
      </w:r>
    </w:p>
    <w:p>
      <w:pPr>
        <w:pStyle w:val="Heading1"/>
        <w:pBdr>
          <w:bottom w:val="single" w:color="B8860B" w:sz="4" w:space="4"/>
        </w:pBdr>
        <w:spacing w:after="140" w:before="320"/>
      </w:pPr>
      <w:r>
        <w:rPr>
          <w:rFonts w:ascii="Calibri" w:cs="Calibri" w:eastAsia="Calibri" w:hAnsi="Calibri"/>
          <w:b/>
          <w:bCs/>
          <w:color w:val="1F4E2C"/>
          <w:sz w:val="26"/>
          <w:szCs w:val="26"/>
        </w:rPr>
        <w:t xml:space="preserve">ADOPTION</w:t>
      </w:r>
    </w:p>
    <w:p>
      <w:pPr>
        <w:spacing w:after="40" w:before="300"/>
      </w:pPr>
      <w:r>
        <w:rPr>
          <w:rFonts w:ascii="Calibri" w:cs="Calibri" w:eastAsia="Calibri" w:hAnsi="Calibri"/>
          <w:sz w:val="21"/>
          <w:szCs w:val="21"/>
        </w:rPr>
        <w:t xml:space="preserve">X ________________________________________</w:t>
      </w:r>
    </w:p>
    <w:p>
      <w:pPr>
        <w:spacing w:after="20"/>
      </w:pPr>
      <w:r>
        <w:rPr>
          <w:rFonts w:ascii="Calibri" w:cs="Calibri" w:eastAsia="Calibri" w:hAnsi="Calibri"/>
          <w:color w:val="666666"/>
          <w:sz w:val="19"/>
          <w:szCs w:val="19"/>
        </w:rPr>
        <w:t xml:space="preserve">Maggie Baty, Chairperson</w:t>
      </w:r>
    </w:p>
    <w:p>
      <w:pPr>
        <w:spacing w:after="200"/>
      </w:pPr>
      <w:r>
        <w:rPr>
          <w:rFonts w:ascii="Calibri" w:cs="Calibri" w:eastAsia="Calibri" w:hAnsi="Calibri"/>
          <w:color w:val="666666"/>
          <w:sz w:val="19"/>
          <w:szCs w:val="19"/>
        </w:rPr>
        <w:t xml:space="preserve">Date: ______________________________</w:t>
      </w:r>
    </w:p>
    <w:p>
      <w:pPr>
        <w:spacing w:after="40" w:before="300"/>
      </w:pPr>
      <w:r>
        <w:rPr>
          <w:rFonts w:ascii="Calibri" w:cs="Calibri" w:eastAsia="Calibri" w:hAnsi="Calibri"/>
          <w:sz w:val="21"/>
          <w:szCs w:val="21"/>
        </w:rPr>
        <w:t xml:space="preserve">X ________________________________________</w:t>
      </w:r>
    </w:p>
    <w:p>
      <w:pPr>
        <w:spacing w:after="20"/>
      </w:pPr>
      <w:r>
        <w:rPr>
          <w:rFonts w:ascii="Calibri" w:cs="Calibri" w:eastAsia="Calibri" w:hAnsi="Calibri"/>
          <w:color w:val="666666"/>
          <w:sz w:val="19"/>
          <w:szCs w:val="19"/>
        </w:rPr>
        <w:t xml:space="preserve">Christopher Pearce, Secretary</w:t>
      </w:r>
    </w:p>
    <w:p>
      <w:pPr>
        <w:spacing w:after="200"/>
      </w:pPr>
      <w:r>
        <w:rPr>
          <w:rFonts w:ascii="Calibri" w:cs="Calibri" w:eastAsia="Calibri" w:hAnsi="Calibri"/>
          <w:color w:val="666666"/>
          <w:sz w:val="19"/>
          <w:szCs w:val="19"/>
        </w:rPr>
        <w:t xml:space="preserve">Date: ______________________________</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CFCF" w:sz="4" w:space="4"/>
      </w:pBdr>
      <w:tabs>
        <w:tab w:val="right" w:pos="9360"/>
      </w:tabs>
    </w:pPr>
    <w:r>
      <w:rPr>
        <w:rFonts w:ascii="Calibri" w:cs="Calibri" w:eastAsia="Calibri" w:hAnsi="Calibri"/>
        <w:color w:val="666666"/>
        <w:sz w:val="15"/>
        <w:szCs w:val="15"/>
      </w:rPr>
      <w:t xml:space="preserve">AGHF Inc. d/b/a AgroHouse Foundation — Record Retention &amp; Document Destruction Policy</w:t>
    </w:r>
    <w:r>
      <w:rPr>
        <w:rFonts w:ascii="Calibri" w:cs="Calibri" w:eastAsia="Calibri" w:hAnsi="Calibri"/>
      </w:rPr>
      <w:t xml:space="preserve">	</w:t>
    </w:r>
    <w:r>
      <w:rPr>
        <w:rFonts w:ascii="Calibri" w:cs="Calibri" w:eastAsia="Calibri" w:hAnsi="Calibri"/>
        <w:color w:val="666666"/>
        <w:sz w:val="15"/>
        <w:szCs w:val="15"/>
      </w:rPr>
      <w:t xml:space="preserve">Page </w:t>
    </w:r>
    <w:r>
      <w:rPr>
        <w:rFonts w:ascii="Calibri" w:cs="Calibri" w:eastAsia="Calibri" w:hAnsi="Calibri"/>
        <w:color w:val="66666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6"/>
        <w:szCs w:val="16"/>
      </w:rPr>
      <w:t xml:space="preserve">AgroHouse Foundation™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3e57656b7076b9525340e8ef023eedcce8cdb52.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2026-07-25T00:22:01.462Z</dcterms:created>
  <dcterms:modified xsi:type="dcterms:W3CDTF">2026-07-25T00:22:01.462Z</dcterms:modified>
</cp:coreProperties>
</file>

<file path=docProps/custom.xml><?xml version="1.0" encoding="utf-8"?>
<Properties xmlns="http://schemas.openxmlformats.org/officeDocument/2006/custom-properties" xmlns:vt="http://schemas.openxmlformats.org/officeDocument/2006/docPropsVTypes"/>
</file>