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drawing>
          <wp:inline distT="0" distB="0" distL="0" distR="0">
            <wp:extent cx="1905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200"/>
        <w:jc w:val="center"/>
      </w:pPr>
      <w:r>
        <w:rPr>
          <w:rFonts w:ascii="Calibri" w:cs="Calibri" w:eastAsia="Calibri" w:hAnsi="Calibri"/>
          <w:b/>
          <w:bCs/>
          <w:color w:val="1F4E2C"/>
          <w:sz w:val="30"/>
          <w:szCs w:val="30"/>
        </w:rPr>
        <w:t xml:space="preserve">AGHF INC.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666666"/>
          <w:sz w:val="24"/>
          <w:szCs w:val="24"/>
        </w:rPr>
        <w:t xml:space="preserve">d/b/a AgroHouse Foundation</w:t>
      </w:r>
    </w:p>
    <w:p>
      <w:pPr>
        <w:pBdr>
          <w:top w:val="single" w:color="B8860B" w:sz="6" w:space="8"/>
          <w:bottom w:val="single" w:color="B8860B" w:sz="6" w:space="8"/>
        </w:pBdr>
        <w:spacing w:after="300" w:before="300"/>
        <w:jc w:val="center"/>
      </w:pPr>
      <w:r>
        <w:rPr>
          <w:rFonts w:ascii="Calibri" w:cs="Calibri" w:eastAsia="Calibri" w:hAnsi="Calibri"/>
          <w:b/>
          <w:bCs/>
          <w:color w:val="1F4E2C"/>
          <w:sz w:val="44"/>
          <w:szCs w:val="44"/>
        </w:rPr>
        <w:t xml:space="preserve">GIFT / IN-KIND VALUATION POLICY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AGHF Inc. d/b/a AgroHouse Foundation</w:t>
      </w:r>
    </w:p>
    <w:p>
      <w:pPr>
        <w:spacing w:before="800"/>
        <w:jc w:val="center"/>
      </w:pPr>
      <w:r>
        <w:rPr>
          <w:rFonts w:ascii="Calibri" w:cs="Calibri" w:eastAsia="Calibri" w:hAnsi="Calibri"/>
          <w:b/>
          <w:bCs/>
          <w:color w:val="2B2E6B"/>
          <w:sz w:val="20"/>
          <w:szCs w:val="20"/>
        </w:rPr>
        <w:t xml:space="preserve">FOR BOARD ADOPTION</w:t>
      </w:r>
    </w:p>
    <w:p>
      <w:pPr>
        <w:spacing w:before="12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Stability • Structure • Growth • Community</w:t>
      </w:r>
    </w:p>
    <w:p>
      <w:r>
        <w:br w:type="page"/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/>
          <w:iCs/>
          <w:color w:val="222222"/>
          <w:sz w:val="21"/>
          <w:szCs w:val="21"/>
        </w:rPr>
        <w:t xml:space="preserve">Adopted: ______________________________</w:t>
      </w:r>
    </w:p>
    <w:p>
      <w:pPr>
        <w:pStyle w:val="Heading1"/>
        <w:pBdr>
          <w:bottom w:val="single" w:color="B8860B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4E2C"/>
          <w:sz w:val="26"/>
          <w:szCs w:val="26"/>
        </w:rPr>
        <w:t xml:space="preserve">1. PURPOSE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This policy establishes consistent procedures for identifying, valuing, and recording in-kind (non-cash) donations received by AGHF Inc. d/b/a AgroHouse Foundation (the “Corporation”), including donated goods, materials, and use of facilities in support of Program 1 and future programs.</w:t>
      </w:r>
    </w:p>
    <w:p>
      <w:pPr>
        <w:pStyle w:val="Heading1"/>
        <w:pBdr>
          <w:bottom w:val="single" w:color="B8860B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4E2C"/>
          <w:sz w:val="26"/>
          <w:szCs w:val="26"/>
        </w:rPr>
        <w:t xml:space="preserve">2. TYPES OF IN-KIND GIFTS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In-kind gifts commonly received by the Corporation may include: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Food and beverage donations for meal service.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Hygiene and personal care supplies for blessing bags.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Storage, refrigeration, or transportation equipment.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Use of facility space (e.g., storage room, refrigeration provided through partner relationships).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Furniture, office equipment, and supplies.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Professional services (e.g., legal, accounting, marketing) donated at no charge.</w:t>
      </w:r>
    </w:p>
    <w:p>
      <w:pPr>
        <w:pStyle w:val="Heading1"/>
        <w:pBdr>
          <w:bottom w:val="single" w:color="B8860B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4E2C"/>
          <w:sz w:val="26"/>
          <w:szCs w:val="26"/>
        </w:rPr>
        <w:t xml:space="preserve">3. VALUATION METHODOLOGY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1F4E2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Gift Type</w:t>
            </w:r>
          </w:p>
        </w:tc>
        <w:tc>
          <w:tcPr>
            <w:tcW w:type="dxa" w:w="6000"/>
            <w:shd w:fill="1F4E2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Valuation Method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New goods with receipt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Actual purchase price per donor-provided receipt or invoice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New goods without receipt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Fair market value based on current retail price for comparable items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Used goods (equipment, furniture)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Fair market value based on comparable used-item pricing; Board or qualified appraisal required for items over $5,000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Bulk food or supply donations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Estimated fair market value per unit, multiplied by quantity received, using standard per-unit estimates maintained by the Program Manager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Donated professional services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Documented at the standard hourly or project rate the provider would otherwise charge, for internal tracking; not recorded as a tax-deductible gift to the donor unless permitted by IRS rules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Use of facility space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Estimated fair rental value for comparable space, documented for internal tracking purposes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Real property or vehicles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Qualified independent appraisal required prior to acceptance and recording</w:t>
            </w:r>
          </w:p>
        </w:tc>
      </w:tr>
    </w:tbl>
    <w:p>
      <w:pPr>
        <w:pStyle w:val="Heading1"/>
        <w:pBdr>
          <w:bottom w:val="single" w:color="B8860B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4E2C"/>
          <w:sz w:val="26"/>
          <w:szCs w:val="26"/>
        </w:rPr>
        <w:t xml:space="preserve">4. DONOR RESPONSIBILITY FOR TAX VALUATION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Consistent with IRS rules, the donor — not the Corporation — is responsible for determining the fair market value of a non-cash gift for tax-deduction purposes. For gifts valued over $5,000 (excluding publicly traded securities), the donor is responsible for obtaining a qualified independent appraisal if required to substantiate a tax deduction. The Corporation will complete IRS Form 8283 (Section B) acknowledgment as required if the Corporation disposes of donated property within three years of receipt (IRS Form 8282).</w:t>
      </w:r>
    </w:p>
    <w:p>
      <w:pPr>
        <w:pStyle w:val="Heading1"/>
        <w:pBdr>
          <w:bottom w:val="single" w:color="B8860B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4E2C"/>
          <w:sz w:val="26"/>
          <w:szCs w:val="26"/>
        </w:rPr>
        <w:t xml:space="preserve">5. RECORDING IN-KIND GIFTS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All in-kind gifts shall be logged by the Program Manager or Treasurer at the time of receipt, including: date received, donor name, description of item(s), quantity, estimated value, valuation method used, and program designation. In-kind gifts shall be reflected in the Corporation’s financial records and annual reporting (including IRS Form 990) in accordance with generally accepted accounting principles for nonprofit organizations.</w:t>
      </w:r>
    </w:p>
    <w:p>
      <w:pPr>
        <w:pStyle w:val="Heading1"/>
        <w:pBdr>
          <w:bottom w:val="single" w:color="B8860B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4E2C"/>
          <w:sz w:val="26"/>
          <w:szCs w:val="26"/>
        </w:rPr>
        <w:t xml:space="preserve">6. GIFT ACKNOWLEDGMENT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The Corporation shall provide the donor with a written acknowledgment describing the donated item(s) without stating a dollar value (consistent with IRS guidance placing valuation responsibility on the donor), along with a statement of whether any goods or services were provided in exchange.</w:t>
      </w:r>
    </w:p>
    <w:p>
      <w:pPr>
        <w:pStyle w:val="Heading1"/>
        <w:pBdr>
          <w:bottom w:val="single" w:color="B8860B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4E2C"/>
          <w:sz w:val="26"/>
          <w:szCs w:val="26"/>
        </w:rPr>
        <w:t xml:space="preserve">7. REJECTION OF IN-KIND GIFTS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The Corporation reserves the right to decline in-kind gifts that do not support Program needs, are expired, damaged, unsafe, or would create unreasonable storage, handling, or disposal costs, consistent with the Donation Acceptance Policy.</w:t>
      </w:r>
    </w:p>
    <w:p>
      <w:pPr>
        <w:pStyle w:val="Heading1"/>
        <w:pBdr>
          <w:bottom w:val="single" w:color="B8860B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4E2C"/>
          <w:sz w:val="26"/>
          <w:szCs w:val="26"/>
        </w:rPr>
        <w:t xml:space="preserve">8. POLICY REVIEW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The Board shall review this policy periodically and update it as necessary.</w:t>
      </w:r>
    </w:p>
    <w:p>
      <w:pPr>
        <w:pStyle w:val="Heading1"/>
        <w:pBdr>
          <w:bottom w:val="single" w:color="B8860B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4E2C"/>
          <w:sz w:val="26"/>
          <w:szCs w:val="26"/>
        </w:rPr>
        <w:t xml:space="preserve">ADOPTION</w:t>
      </w:r>
    </w:p>
    <w:p>
      <w:pPr>
        <w:spacing w:after="40" w:before="300"/>
      </w:pPr>
      <w:r>
        <w:rPr>
          <w:rFonts w:ascii="Calibri" w:cs="Calibri" w:eastAsia="Calibri" w:hAnsi="Calibri"/>
          <w:sz w:val="21"/>
          <w:szCs w:val="21"/>
        </w:rPr>
        <w:t xml:space="preserve">X ________________________________________</w:t>
      </w:r>
    </w:p>
    <w:p>
      <w:pPr>
        <w:spacing w:after="20"/>
      </w:pPr>
      <w:r>
        <w:rPr>
          <w:rFonts w:ascii="Calibri" w:cs="Calibri" w:eastAsia="Calibri" w:hAnsi="Calibri"/>
          <w:color w:val="666666"/>
          <w:sz w:val="19"/>
          <w:szCs w:val="19"/>
        </w:rPr>
        <w:t xml:space="preserve">Maggie Baty, Chairperson</w:t>
      </w:r>
    </w:p>
    <w:p>
      <w:pPr>
        <w:spacing w:after="200"/>
      </w:pPr>
      <w:r>
        <w:rPr>
          <w:rFonts w:ascii="Calibri" w:cs="Calibri" w:eastAsia="Calibri" w:hAnsi="Calibri"/>
          <w:color w:val="666666"/>
          <w:sz w:val="19"/>
          <w:szCs w:val="19"/>
        </w:rPr>
        <w:t xml:space="preserve">Date: ______________________________</w:t>
      </w:r>
    </w:p>
    <w:p>
      <w:pPr>
        <w:spacing w:after="40" w:before="300"/>
      </w:pPr>
      <w:r>
        <w:rPr>
          <w:rFonts w:ascii="Calibri" w:cs="Calibri" w:eastAsia="Calibri" w:hAnsi="Calibri"/>
          <w:sz w:val="21"/>
          <w:szCs w:val="21"/>
        </w:rPr>
        <w:t xml:space="preserve">X ________________________________________</w:t>
      </w:r>
    </w:p>
    <w:p>
      <w:pPr>
        <w:spacing w:after="20"/>
      </w:pPr>
      <w:r>
        <w:rPr>
          <w:rFonts w:ascii="Calibri" w:cs="Calibri" w:eastAsia="Calibri" w:hAnsi="Calibri"/>
          <w:color w:val="666666"/>
          <w:sz w:val="19"/>
          <w:szCs w:val="19"/>
        </w:rPr>
        <w:t xml:space="preserve">Susan Slater, Treasurer</w:t>
      </w:r>
    </w:p>
    <w:p>
      <w:pPr>
        <w:spacing w:after="200"/>
      </w:pPr>
      <w:r>
        <w:rPr>
          <w:rFonts w:ascii="Calibri" w:cs="Calibri" w:eastAsia="Calibri" w:hAnsi="Calibri"/>
          <w:color w:val="666666"/>
          <w:sz w:val="19"/>
          <w:szCs w:val="19"/>
        </w:rPr>
        <w:t xml:space="preserve">Date: ______________________________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FCFCF" w:sz="4" w:space="4"/>
      </w:pBdr>
      <w:tabs>
        <w:tab w:val="right" w:pos="9360"/>
      </w:tabs>
    </w:pPr>
    <w:r>
      <w:rPr>
        <w:rFonts w:ascii="Calibri" w:cs="Calibri" w:eastAsia="Calibri" w:hAnsi="Calibri"/>
        <w:color w:val="666666"/>
        <w:sz w:val="15"/>
        <w:szCs w:val="15"/>
      </w:rPr>
      <w:t xml:space="preserve">AGHF Inc. d/b/a AgroHouse Foundation — Gift / In-Kind Valuation Policy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666666"/>
        <w:sz w:val="15"/>
        <w:szCs w:val="15"/>
      </w:rPr>
      <w:t xml:space="preserve">Page </w:t>
    </w:r>
    <w:r>
      <w:rPr>
        <w:rFonts w:ascii="Calibri" w:cs="Calibri" w:eastAsia="Calibri" w:hAnsi="Calibri"/>
        <w:color w:val="666666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66666"/>
        <w:sz w:val="16"/>
        <w:szCs w:val="16"/>
      </w:rPr>
      <w:t xml:space="preserve">AgroHouse Foundation™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3e57656b7076b9525340e8ef023eedcce8cdb52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2026-07-25T00:22:01.641Z</dcterms:created>
  <dcterms:modified xsi:type="dcterms:W3CDTF">2026-07-25T00:22:01.641Z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