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EIN FILING AUTHORIZATION</w:t>
      </w:r>
    </w:p>
    <w:p>
      <w:pPr>
        <w:spacing w:after="600"/>
        <w:jc w:val="center"/>
      </w:pPr>
      <w:r>
        <w:rPr>
          <w:rFonts w:ascii="Calibri" w:cs="Calibri" w:eastAsia="Calibri" w:hAnsi="Calibri"/>
          <w:color w:val="222222"/>
          <w:sz w:val="24"/>
          <w:szCs w:val="24"/>
        </w:rPr>
        <w:t xml:space="preserve">Authorization to Apply for Federal Employer Identification Number</w:t>
      </w:r>
    </w:p>
    <w:p>
      <w:pPr>
        <w:spacing w:before="800"/>
        <w:jc w:val="center"/>
      </w:pPr>
      <w:r>
        <w:rPr>
          <w:rFonts w:ascii="Calibri" w:cs="Calibri" w:eastAsia="Calibri" w:hAnsi="Calibri"/>
          <w:b/>
          <w:bCs/>
          <w:color w:val="2B2E6B"/>
          <w:sz w:val="20"/>
          <w:szCs w:val="20"/>
        </w:rPr>
        <w:t xml:space="preserve">BOARD RESOLUTION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requires a federal Employer Identification Number (EIN) to open bank accounts, apply for federal tax-exempt status, and conduct lawful organizational business; and</w:t>
      </w:r>
    </w:p>
    <w:p>
      <w:pPr>
        <w:spacing w:after="140"/>
      </w:pPr>
      <w:r>
        <w:rPr>
          <w:rFonts w:ascii="Calibri" w:cs="Calibri" w:eastAsia="Calibri" w:hAnsi="Calibri"/>
          <w:b w:val="false"/>
          <w:bCs w:val="false"/>
          <w:i w:val="false"/>
          <w:iCs w:val="false"/>
          <w:color w:val="222222"/>
          <w:sz w:val="21"/>
          <w:szCs w:val="21"/>
        </w:rPr>
        <w:t xml:space="preserve">WHEREAS, the Board has determined it is necessary to designate a responsible party to prepare and submit IRS Form SS-4 (Application for Employer Identification Number) on behalf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Maggie Baty, Chairperson and Executive Director, is designated as the Corporation’s “Responsible Party” for purposes of IRS Form SS-4, and is authorized to prepare, sign, and submit the Corporation’s EIN application to the Internal Revenue Service, whether by online application, mail, fax, or telephone;</w:t>
      </w:r>
    </w:p>
    <w:p>
      <w:pPr>
        <w:spacing w:after="140"/>
      </w:pPr>
      <w:r>
        <w:rPr>
          <w:rFonts w:ascii="Calibri" w:cs="Calibri" w:eastAsia="Calibri" w:hAnsi="Calibri"/>
          <w:b w:val="false"/>
          <w:bCs w:val="false"/>
          <w:i w:val="false"/>
          <w:iCs w:val="false"/>
          <w:color w:val="222222"/>
          <w:sz w:val="21"/>
          <w:szCs w:val="21"/>
        </w:rPr>
        <w:t xml:space="preserve">FURTHER RESOLVED, the Responsible Party is authorized to provide all information reasonably required by the Internal Revenue Service to complete the EIN application, including the Corporation’s legal name, formation state, formation date, principal address, and organizational purpose;</w:t>
      </w:r>
    </w:p>
    <w:p>
      <w:pPr>
        <w:spacing w:after="140"/>
      </w:pPr>
      <w:r>
        <w:rPr>
          <w:rFonts w:ascii="Calibri" w:cs="Calibri" w:eastAsia="Calibri" w:hAnsi="Calibri"/>
          <w:b w:val="false"/>
          <w:bCs w:val="false"/>
          <w:i w:val="false"/>
          <w:iCs w:val="false"/>
          <w:color w:val="222222"/>
          <w:sz w:val="21"/>
          <w:szCs w:val="21"/>
        </w:rPr>
        <w:t xml:space="preserve">FURTHER RESOLVED, upon receipt of the EIN, the Responsible Party shall promptly provide the EIN to the Treasurer and Secretary for inclusion in the Corporation’s permanent records and for use in opening the Corporation’s bank accounts;</w:t>
      </w:r>
    </w:p>
    <w:p>
      <w:pPr>
        <w:spacing w:after="140"/>
      </w:pPr>
      <w:r>
        <w:rPr>
          <w:rFonts w:ascii="Calibri" w:cs="Calibri" w:eastAsia="Calibri" w:hAnsi="Calibri"/>
          <w:b w:val="false"/>
          <w:bCs w:val="false"/>
          <w:i w:val="false"/>
          <w:iCs w:val="false"/>
          <w:color w:val="222222"/>
          <w:sz w:val="21"/>
          <w:szCs w:val="21"/>
        </w:rPr>
        <w:t xml:space="preserve">FURTHER RESOLVED, this authorization shall remain in effect until revoked or superseded by further action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EIN Filing Authorization</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2026-07-25T00:22:01.974Z</dcterms:created>
  <dcterms:modified xsi:type="dcterms:W3CDTF">2026-07-25T00:22:01.974Z</dcterms:modified>
</cp:coreProperties>
</file>

<file path=docProps/custom.xml><?xml version="1.0" encoding="utf-8"?>
<Properties xmlns="http://schemas.openxmlformats.org/officeDocument/2006/custom-properties" xmlns:vt="http://schemas.openxmlformats.org/officeDocument/2006/docPropsVTypes"/>
</file>