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E92A" w14:textId="77777777" w:rsidR="00EE0C09" w:rsidRDefault="00000000">
      <w:pPr>
        <w:pStyle w:val="Title"/>
        <w:spacing w:before="60" w:after="80"/>
      </w:pPr>
      <w:r>
        <w:rPr>
          <w:b/>
          <w:bCs/>
          <w:color w:val="1F5E2B"/>
          <w:sz w:val="34"/>
          <w:szCs w:val="34"/>
        </w:rPr>
        <w:t>Financial Controls Policy</w:t>
      </w:r>
    </w:p>
    <w:p w14:paraId="3981AD8D" w14:textId="77777777" w:rsidR="00EE0C09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Adopted by the Board of Directors of AGHF Inc. d/b/a AgroHouse Foundation™</w:t>
      </w:r>
    </w:p>
    <w:p w14:paraId="3EEBC407" w14:textId="77777777" w:rsidR="00EE0C09" w:rsidRDefault="00000000">
      <w:pPr>
        <w:pStyle w:val="Heading1"/>
        <w:pBdr>
          <w:bottom w:val="single" w:sz="4" w:space="2" w:color="3C7A3F"/>
        </w:pBdr>
        <w:spacing w:before="240" w:after="120"/>
      </w:pPr>
      <w:r>
        <w:rPr>
          <w:b/>
          <w:bCs/>
          <w:color w:val="1F5E2B"/>
          <w:sz w:val="26"/>
          <w:szCs w:val="26"/>
        </w:rPr>
        <w:t>Purpose</w:t>
      </w:r>
    </w:p>
    <w:p w14:paraId="75CC1728" w14:textId="77777777" w:rsidR="00EE0C09" w:rsidRDefault="00000000">
      <w:pPr>
        <w:spacing w:after="160" w:line="276" w:lineRule="auto"/>
      </w:pPr>
      <w:r>
        <w:t>This Financial Controls Policy establishes internal financial controls for AGHF Inc. d/b/a AgroHouse Foundation™ (the “Organization”) to safeguard assets, ensure accurate financial reporting, and maintain donor and public confidence, in furtherance of the Organization's intended tax-exempt status under Section 501(c)(3) of the Internal Revenue Code.</w:t>
      </w:r>
    </w:p>
    <w:p w14:paraId="31A158D6" w14:textId="77777777" w:rsidR="00EE0C09" w:rsidRDefault="00000000">
      <w:pPr>
        <w:pStyle w:val="Heading1"/>
        <w:pBdr>
          <w:bottom w:val="single" w:sz="4" w:space="2" w:color="3C7A3F"/>
        </w:pBdr>
        <w:spacing w:before="240" w:after="120"/>
      </w:pPr>
      <w:r>
        <w:rPr>
          <w:b/>
          <w:bCs/>
          <w:color w:val="1F5E2B"/>
          <w:sz w:val="26"/>
          <w:szCs w:val="26"/>
        </w:rPr>
        <w:t>Spending Authority Levels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E0C09" w14:paraId="69158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E8F3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9D499" w14:textId="77777777" w:rsidR="00EE0C09" w:rsidRDefault="00000000">
            <w:r>
              <w:rPr>
                <w:b/>
                <w:bCs/>
                <w:color w:val="1F5E2B"/>
                <w:sz w:val="19"/>
                <w:szCs w:val="19"/>
              </w:rPr>
              <w:t>Expenditure Amount</w:t>
            </w:r>
          </w:p>
        </w:tc>
        <w:tc>
          <w:tcPr>
            <w:tcW w:w="4675" w:type="dxa"/>
            <w:shd w:val="clear" w:color="auto" w:fill="E8F3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DB6AA" w14:textId="77777777" w:rsidR="00EE0C09" w:rsidRDefault="00000000">
            <w:r>
              <w:rPr>
                <w:b/>
                <w:bCs/>
                <w:color w:val="1F5E2B"/>
                <w:sz w:val="19"/>
                <w:szCs w:val="19"/>
              </w:rPr>
              <w:t>Approval Required</w:t>
            </w:r>
          </w:p>
        </w:tc>
      </w:tr>
      <w:tr w:rsidR="00EE0C09" w14:paraId="0F96CCB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B6CF4" w14:textId="5F3F82F7" w:rsidR="00EE0C09" w:rsidRDefault="00000000">
            <w:r>
              <w:rPr>
                <w:color w:val="222222"/>
                <w:sz w:val="19"/>
                <w:szCs w:val="19"/>
              </w:rPr>
              <w:t>Up to $</w:t>
            </w:r>
            <w:r w:rsidR="00606493">
              <w:rPr>
                <w:color w:val="222222"/>
                <w:sz w:val="19"/>
                <w:szCs w:val="19"/>
              </w:rPr>
              <w:t>500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CC8C" w14:textId="77777777" w:rsidR="00EE0C09" w:rsidRDefault="00000000">
            <w:r>
              <w:rPr>
                <w:color w:val="222222"/>
                <w:sz w:val="19"/>
                <w:szCs w:val="19"/>
              </w:rPr>
              <w:t>Executive Director</w:t>
            </w:r>
          </w:p>
        </w:tc>
      </w:tr>
      <w:tr w:rsidR="00EE0C09" w14:paraId="289E65C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12C7" w14:textId="5DD424D8" w:rsidR="00EE0C09" w:rsidRDefault="00606493">
            <w:r>
              <w:rPr>
                <w:color w:val="222222"/>
                <w:sz w:val="19"/>
                <w:szCs w:val="19"/>
              </w:rPr>
              <w:t>$500.01</w:t>
            </w:r>
            <w:r w:rsidR="00000000">
              <w:rPr>
                <w:color w:val="222222"/>
                <w:sz w:val="19"/>
                <w:szCs w:val="19"/>
              </w:rPr>
              <w:t xml:space="preserve"> – $1,000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224E6" w14:textId="77777777" w:rsidR="00EE0C09" w:rsidRDefault="00000000">
            <w:r>
              <w:rPr>
                <w:color w:val="222222"/>
                <w:sz w:val="19"/>
                <w:szCs w:val="19"/>
              </w:rPr>
              <w:t>Executive Director + Treasurer sign-off</w:t>
            </w:r>
          </w:p>
        </w:tc>
      </w:tr>
      <w:tr w:rsidR="00EE0C09" w14:paraId="3F38AF9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304B7" w14:textId="77777777" w:rsidR="00EE0C09" w:rsidRDefault="00000000">
            <w:r>
              <w:rPr>
                <w:color w:val="222222"/>
                <w:sz w:val="19"/>
                <w:szCs w:val="19"/>
              </w:rPr>
              <w:t>$1,000.01 – $5,000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8CBA0" w14:textId="77777777" w:rsidR="00EE0C09" w:rsidRDefault="00000000">
            <w:r>
              <w:rPr>
                <w:color w:val="222222"/>
                <w:sz w:val="19"/>
                <w:szCs w:val="19"/>
              </w:rPr>
              <w:t>Board approval (may be via written consent)</w:t>
            </w:r>
          </w:p>
        </w:tc>
      </w:tr>
      <w:tr w:rsidR="00EE0C09" w14:paraId="54D429C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4EE12" w14:textId="77777777" w:rsidR="00EE0C09" w:rsidRDefault="00000000">
            <w:r>
              <w:rPr>
                <w:color w:val="222222"/>
                <w:sz w:val="19"/>
                <w:szCs w:val="19"/>
              </w:rPr>
              <w:t>Over $5,000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E2DE9" w14:textId="77777777" w:rsidR="00EE0C09" w:rsidRDefault="00000000">
            <w:r>
              <w:rPr>
                <w:color w:val="222222"/>
                <w:sz w:val="19"/>
                <w:szCs w:val="19"/>
              </w:rPr>
              <w:t>Board resolution at a scheduled or special meeting</w:t>
            </w:r>
          </w:p>
        </w:tc>
      </w:tr>
    </w:tbl>
    <w:p w14:paraId="6A535A82" w14:textId="77777777" w:rsidR="00EE0C09" w:rsidRDefault="00000000">
      <w:pPr>
        <w:pStyle w:val="Heading1"/>
        <w:pBdr>
          <w:bottom w:val="single" w:sz="4" w:space="2" w:color="3C7A3F"/>
        </w:pBdr>
        <w:spacing w:before="240" w:after="120"/>
      </w:pPr>
      <w:r>
        <w:rPr>
          <w:b/>
          <w:bCs/>
          <w:color w:val="1F5E2B"/>
          <w:sz w:val="26"/>
          <w:szCs w:val="26"/>
        </w:rPr>
        <w:t>Bank Accounts &amp; Signers</w:t>
      </w:r>
    </w:p>
    <w:p w14:paraId="1AC4154E" w14:textId="77777777" w:rsidR="00EE0C09" w:rsidRDefault="00000000">
      <w:pPr>
        <w:spacing w:after="160" w:line="276" w:lineRule="auto"/>
      </w:pPr>
      <w:r>
        <w:t>All Organization bank accounts shall be opened and maintained only pursuant to a Board-approved Banking Resolution. No fewer than two authorized signers shall be designated by the Board at all times. Single-signer authority shall not exceed the spending authority levels above without a co-signature or prior Board approval.</w:t>
      </w:r>
    </w:p>
    <w:p w14:paraId="6F721046" w14:textId="77777777" w:rsidR="00EE0C09" w:rsidRDefault="00000000">
      <w:pPr>
        <w:pStyle w:val="Heading1"/>
        <w:pBdr>
          <w:bottom w:val="single" w:sz="4" w:space="2" w:color="3C7A3F"/>
        </w:pBdr>
        <w:spacing w:before="240" w:after="120"/>
      </w:pPr>
      <w:r>
        <w:rPr>
          <w:b/>
          <w:bCs/>
          <w:color w:val="1F5E2B"/>
          <w:sz w:val="26"/>
          <w:szCs w:val="26"/>
        </w:rPr>
        <w:t>Reimbursement Procedures</w:t>
      </w:r>
    </w:p>
    <w:p w14:paraId="05E73D74" w14:textId="77777777" w:rsidR="00EE0C09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All reimbursement requests must be submitted with original receipts or itemized digital records within 30 days of the expense.</w:t>
      </w:r>
    </w:p>
    <w:p w14:paraId="132D2D89" w14:textId="77777777" w:rsidR="00EE0C09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Reimbursement requests must identify the program or budget line the expense supports.</w:t>
      </w:r>
    </w:p>
    <w:p w14:paraId="4738A28E" w14:textId="77777777" w:rsidR="00EE0C09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The Treasurer (or designee) reviews and approves reimbursements prior to payment.</w:t>
      </w:r>
    </w:p>
    <w:p w14:paraId="62C10DDB" w14:textId="77777777" w:rsidR="00EE0C09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Reimbursements to the Executive Director or any Board member require a second signature.</w:t>
      </w:r>
    </w:p>
    <w:p w14:paraId="233D7675" w14:textId="77777777" w:rsidR="00EE0C09" w:rsidRDefault="00000000">
      <w:pPr>
        <w:pStyle w:val="Heading1"/>
        <w:pBdr>
          <w:bottom w:val="single" w:sz="4" w:space="2" w:color="3C7A3F"/>
        </w:pBdr>
        <w:spacing w:before="240" w:after="120"/>
      </w:pPr>
      <w:r>
        <w:rPr>
          <w:b/>
          <w:bCs/>
          <w:color w:val="1F5E2B"/>
          <w:sz w:val="26"/>
          <w:szCs w:val="26"/>
        </w:rPr>
        <w:t>Documentation Requirements</w:t>
      </w:r>
    </w:p>
    <w:p w14:paraId="07F62F90" w14:textId="77777777" w:rsidR="00EE0C09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All income and expenses shall be recorded in the Organization's accounting records within 10 business days.</w:t>
      </w:r>
    </w:p>
    <w:p w14:paraId="0A8B5E9D" w14:textId="77777777" w:rsidR="00EE0C09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Supporting documentation (invoices, receipts, grant agreements, donation records) shall be retained for a minimum of seven years.</w:t>
      </w:r>
    </w:p>
    <w:p w14:paraId="1FB96276" w14:textId="77777777" w:rsidR="00EE0C09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Monthly bank reconciliations shall be prepared and reviewed by the Treasurer.</w:t>
      </w:r>
    </w:p>
    <w:p w14:paraId="26030FE7" w14:textId="77777777" w:rsidR="00EE0C09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 financial summary shall be presented at each regular Board meeting.</w:t>
      </w:r>
    </w:p>
    <w:p w14:paraId="5E85CBE3" w14:textId="77777777" w:rsidR="00EE0C09" w:rsidRDefault="00000000">
      <w:pPr>
        <w:pStyle w:val="Heading1"/>
        <w:pBdr>
          <w:bottom w:val="single" w:sz="4" w:space="2" w:color="3C7A3F"/>
        </w:pBdr>
        <w:spacing w:before="240" w:after="120"/>
      </w:pPr>
      <w:r>
        <w:rPr>
          <w:b/>
          <w:bCs/>
          <w:color w:val="1F5E2B"/>
          <w:sz w:val="26"/>
          <w:szCs w:val="26"/>
        </w:rPr>
        <w:t>Segregation of Duties</w:t>
      </w:r>
    </w:p>
    <w:p w14:paraId="4DEB9B6E" w14:textId="77777777" w:rsidR="00EE0C09" w:rsidRDefault="00000000">
      <w:pPr>
        <w:spacing w:after="160" w:line="276" w:lineRule="auto"/>
      </w:pPr>
      <w:r>
        <w:lastRenderedPageBreak/>
        <w:t>To the extent practicable given the Organization's size, the individual who initiates a payment shall not be the sole individual who approves and disburses that payment. As the Organization grows, the Board shall periodically review this policy to ensure adequate segregation of duties.</w:t>
      </w:r>
    </w:p>
    <w:p w14:paraId="62B6AE3D" w14:textId="77777777" w:rsidR="00EE0C09" w:rsidRDefault="00000000">
      <w:pPr>
        <w:pStyle w:val="Heading1"/>
        <w:pBdr>
          <w:bottom w:val="single" w:sz="4" w:space="2" w:color="3C7A3F"/>
        </w:pBdr>
        <w:spacing w:before="240" w:after="120"/>
      </w:pPr>
      <w:r>
        <w:rPr>
          <w:b/>
          <w:bCs/>
          <w:color w:val="1F5E2B"/>
          <w:sz w:val="26"/>
          <w:szCs w:val="26"/>
        </w:rPr>
        <w:t>Conflicts of Interest</w:t>
      </w:r>
    </w:p>
    <w:p w14:paraId="15474DDA" w14:textId="77777777" w:rsidR="00EE0C09" w:rsidRDefault="00000000">
      <w:pPr>
        <w:spacing w:after="160" w:line="276" w:lineRule="auto"/>
      </w:pPr>
      <w:r>
        <w:t>All financial decisions shall comply with the Organization's Conflict of Interest Policy. Any Board member or staff member with a financial interest in a transaction shall disclose that interest and recuse themselves from related approval decisions.</w:t>
      </w:r>
    </w:p>
    <w:p w14:paraId="6B82690D" w14:textId="77777777" w:rsidR="00EE0C09" w:rsidRDefault="00000000">
      <w:pPr>
        <w:pStyle w:val="Heading1"/>
        <w:pBdr>
          <w:bottom w:val="single" w:sz="4" w:space="2" w:color="3C7A3F"/>
        </w:pBdr>
        <w:spacing w:before="240" w:after="120"/>
      </w:pPr>
      <w:r>
        <w:rPr>
          <w:b/>
          <w:bCs/>
          <w:color w:val="1F5E2B"/>
          <w:sz w:val="26"/>
          <w:szCs w:val="26"/>
        </w:rPr>
        <w:t>Annual Review</w:t>
      </w:r>
    </w:p>
    <w:p w14:paraId="05051528" w14:textId="77777777" w:rsidR="00EE0C09" w:rsidRDefault="00000000">
      <w:pPr>
        <w:spacing w:after="160" w:line="276" w:lineRule="auto"/>
      </w:pPr>
      <w:r>
        <w:t>This policy shall be reviewed annually by the Board and updated as necessary to reflect the Organization's growth and operational needs.</w:t>
      </w:r>
    </w:p>
    <w:p w14:paraId="2F0955B5" w14:textId="77777777" w:rsidR="00EE0C09" w:rsidRDefault="00000000">
      <w:pPr>
        <w:pBdr>
          <w:bottom w:val="single" w:sz="6" w:space="1" w:color="999999"/>
        </w:pBdr>
        <w:spacing w:before="300" w:after="40"/>
      </w:pPr>
      <w:r>
        <w:t> </w:t>
      </w:r>
    </w:p>
    <w:p w14:paraId="1429C0BF" w14:textId="77777777" w:rsidR="00EE0C09" w:rsidRDefault="00000000">
      <w:pPr>
        <w:spacing w:after="200"/>
      </w:pPr>
      <w:r>
        <w:rPr>
          <w:color w:val="555555"/>
          <w:sz w:val="19"/>
          <w:szCs w:val="19"/>
        </w:rPr>
        <w:t>Adopted by the Board of Directors — Secretary Certification                                    Date: ______________________</w:t>
      </w:r>
    </w:p>
    <w:sectPr w:rsidR="00EE0C09">
      <w:headerReference w:type="default" r:id="rId7"/>
      <w:footerReference w:type="default" r:id="rId8"/>
      <w:pgSz w:w="12240" w:h="15840"/>
      <w:pgMar w:top="135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64325" w14:textId="77777777" w:rsidR="003E30CE" w:rsidRDefault="003E30CE">
      <w:r>
        <w:separator/>
      </w:r>
    </w:p>
  </w:endnote>
  <w:endnote w:type="continuationSeparator" w:id="0">
    <w:p w14:paraId="1ACEA266" w14:textId="77777777" w:rsidR="003E30CE" w:rsidRDefault="003E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0B8F" w14:textId="77777777" w:rsidR="00EE0C09" w:rsidRDefault="00000000">
    <w:pPr>
      <w:pBdr>
        <w:top w:val="single" w:sz="6" w:space="4" w:color="1F5E2B"/>
      </w:pBdr>
      <w:jc w:val="center"/>
    </w:pPr>
    <w:r>
      <w:rPr>
        <w:color w:val="555555"/>
        <w:sz w:val="14"/>
        <w:szCs w:val="14"/>
      </w:rPr>
      <w:t xml:space="preserve">© 2026 AGHF Inc. d/b/a AgroHouse Foundation™. All rights reserved.  •  EIN 42-4075687  •  Page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PAGE</w:instrText>
    </w:r>
    <w:r>
      <w:rPr>
        <w:color w:val="555555"/>
        <w:sz w:val="14"/>
        <w:szCs w:val="14"/>
      </w:rPr>
      <w:fldChar w:fldCharType="separate"/>
    </w:r>
    <w:r w:rsidR="00606493">
      <w:rPr>
        <w:noProof/>
        <w:color w:val="555555"/>
        <w:sz w:val="14"/>
        <w:szCs w:val="14"/>
      </w:rPr>
      <w:t>1</w:t>
    </w:r>
    <w:r>
      <w:rPr>
        <w:color w:val="555555"/>
        <w:sz w:val="14"/>
        <w:szCs w:val="14"/>
      </w:rPr>
      <w:fldChar w:fldCharType="end"/>
    </w:r>
    <w:r>
      <w:rPr>
        <w:color w:val="555555"/>
        <w:sz w:val="14"/>
        <w:szCs w:val="14"/>
      </w:rPr>
      <w:t xml:space="preserve"> of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NUMPAGES</w:instrText>
    </w:r>
    <w:r>
      <w:rPr>
        <w:color w:val="555555"/>
        <w:sz w:val="14"/>
        <w:szCs w:val="14"/>
      </w:rPr>
      <w:fldChar w:fldCharType="separate"/>
    </w:r>
    <w:r w:rsidR="00606493">
      <w:rPr>
        <w:noProof/>
        <w:color w:val="555555"/>
        <w:sz w:val="14"/>
        <w:szCs w:val="14"/>
      </w:rPr>
      <w:t>2</w:t>
    </w:r>
    <w:r>
      <w:rPr>
        <w:color w:val="55555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B965" w14:textId="77777777" w:rsidR="003E30CE" w:rsidRDefault="003E30CE">
      <w:r>
        <w:separator/>
      </w:r>
    </w:p>
  </w:footnote>
  <w:footnote w:type="continuationSeparator" w:id="0">
    <w:p w14:paraId="26549E9A" w14:textId="77777777" w:rsidR="003E30CE" w:rsidRDefault="003E3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FB21A" w14:textId="77777777" w:rsidR="00EE0C09" w:rsidRDefault="00000000">
    <w:pPr>
      <w:pBdr>
        <w:bottom w:val="single" w:sz="12" w:space="4" w:color="1F5E2B"/>
      </w:pBdr>
      <w:spacing w:after="40"/>
    </w:pPr>
    <w:r>
      <w:rPr>
        <w:b/>
        <w:bCs/>
        <w:color w:val="1F5E2B"/>
        <w:sz w:val="30"/>
        <w:szCs w:val="30"/>
      </w:rPr>
      <w:t>AgroHouse</w:t>
    </w:r>
    <w:r>
      <w:rPr>
        <w:b/>
        <w:bCs/>
        <w:color w:val="3C7A3F"/>
        <w:sz w:val="30"/>
        <w:szCs w:val="30"/>
      </w:rPr>
      <w:t xml:space="preserve"> Foundation™</w:t>
    </w:r>
  </w:p>
  <w:p w14:paraId="51806CCE" w14:textId="77777777" w:rsidR="00EE0C09" w:rsidRDefault="00000000">
    <w:pPr>
      <w:spacing w:after="120"/>
    </w:pPr>
    <w:r>
      <w:rPr>
        <w:i/>
        <w:iCs/>
        <w:color w:val="555555"/>
        <w:sz w:val="16"/>
        <w:szCs w:val="16"/>
      </w:rPr>
      <w:t>AGHF Inc. d/b/a AgroHouse Foundation™  •  Stability • Structure • Growth • Community</w:t>
    </w:r>
  </w:p>
  <w:p w14:paraId="46DB011D" w14:textId="77777777" w:rsidR="00EE0C09" w:rsidRDefault="00000000">
    <w:pPr>
      <w:spacing w:after="200"/>
    </w:pPr>
    <w:r>
      <w:rPr>
        <w:b/>
        <w:bCs/>
        <w:color w:val="3C7A3F"/>
        <w:sz w:val="16"/>
        <w:szCs w:val="16"/>
      </w:rPr>
      <w:t>GOVERNANCE &amp; CORPORATE RECORDS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4FC7"/>
    <w:multiLevelType w:val="hybridMultilevel"/>
    <w:tmpl w:val="677448B0"/>
    <w:lvl w:ilvl="0" w:tplc="057486B2">
      <w:start w:val="1"/>
      <w:numFmt w:val="bullet"/>
      <w:lvlText w:val="●"/>
      <w:lvlJc w:val="left"/>
      <w:pPr>
        <w:ind w:left="720" w:hanging="360"/>
      </w:pPr>
    </w:lvl>
    <w:lvl w:ilvl="1" w:tplc="DDA22FEC">
      <w:start w:val="1"/>
      <w:numFmt w:val="bullet"/>
      <w:lvlText w:val="○"/>
      <w:lvlJc w:val="left"/>
      <w:pPr>
        <w:ind w:left="1440" w:hanging="360"/>
      </w:pPr>
    </w:lvl>
    <w:lvl w:ilvl="2" w:tplc="C3AC41F4">
      <w:start w:val="1"/>
      <w:numFmt w:val="bullet"/>
      <w:lvlText w:val="■"/>
      <w:lvlJc w:val="left"/>
      <w:pPr>
        <w:ind w:left="2160" w:hanging="360"/>
      </w:pPr>
    </w:lvl>
    <w:lvl w:ilvl="3" w:tplc="88AA7964">
      <w:start w:val="1"/>
      <w:numFmt w:val="bullet"/>
      <w:lvlText w:val="●"/>
      <w:lvlJc w:val="left"/>
      <w:pPr>
        <w:ind w:left="2880" w:hanging="360"/>
      </w:pPr>
    </w:lvl>
    <w:lvl w:ilvl="4" w:tplc="7CF6581A">
      <w:start w:val="1"/>
      <w:numFmt w:val="bullet"/>
      <w:lvlText w:val="○"/>
      <w:lvlJc w:val="left"/>
      <w:pPr>
        <w:ind w:left="3600" w:hanging="360"/>
      </w:pPr>
    </w:lvl>
    <w:lvl w:ilvl="5" w:tplc="44CE0D30">
      <w:start w:val="1"/>
      <w:numFmt w:val="bullet"/>
      <w:lvlText w:val="■"/>
      <w:lvlJc w:val="left"/>
      <w:pPr>
        <w:ind w:left="4320" w:hanging="360"/>
      </w:pPr>
    </w:lvl>
    <w:lvl w:ilvl="6" w:tplc="67A8FB9C">
      <w:start w:val="1"/>
      <w:numFmt w:val="bullet"/>
      <w:lvlText w:val="●"/>
      <w:lvlJc w:val="left"/>
      <w:pPr>
        <w:ind w:left="5040" w:hanging="360"/>
      </w:pPr>
    </w:lvl>
    <w:lvl w:ilvl="7" w:tplc="54083B2C">
      <w:start w:val="1"/>
      <w:numFmt w:val="bullet"/>
      <w:lvlText w:val="●"/>
      <w:lvlJc w:val="left"/>
      <w:pPr>
        <w:ind w:left="5760" w:hanging="360"/>
      </w:pPr>
    </w:lvl>
    <w:lvl w:ilvl="8" w:tplc="866E90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807DBD"/>
    <w:multiLevelType w:val="hybridMultilevel"/>
    <w:tmpl w:val="2B0610BA"/>
    <w:lvl w:ilvl="0" w:tplc="EE70BE0A">
      <w:start w:val="1"/>
      <w:numFmt w:val="decimal"/>
      <w:lvlText w:val="%1."/>
      <w:lvlJc w:val="left"/>
      <w:pPr>
        <w:ind w:left="504" w:hanging="288"/>
      </w:pPr>
    </w:lvl>
    <w:lvl w:ilvl="1" w:tplc="F70C4B22">
      <w:numFmt w:val="decimal"/>
      <w:lvlText w:val=""/>
      <w:lvlJc w:val="left"/>
    </w:lvl>
    <w:lvl w:ilvl="2" w:tplc="C0CE18C4">
      <w:numFmt w:val="decimal"/>
      <w:lvlText w:val=""/>
      <w:lvlJc w:val="left"/>
    </w:lvl>
    <w:lvl w:ilvl="3" w:tplc="7CDA198E">
      <w:numFmt w:val="decimal"/>
      <w:lvlText w:val=""/>
      <w:lvlJc w:val="left"/>
    </w:lvl>
    <w:lvl w:ilvl="4" w:tplc="B5F4CF2A">
      <w:numFmt w:val="decimal"/>
      <w:lvlText w:val=""/>
      <w:lvlJc w:val="left"/>
    </w:lvl>
    <w:lvl w:ilvl="5" w:tplc="F6944434">
      <w:numFmt w:val="decimal"/>
      <w:lvlText w:val=""/>
      <w:lvlJc w:val="left"/>
    </w:lvl>
    <w:lvl w:ilvl="6" w:tplc="F99C8B74">
      <w:numFmt w:val="decimal"/>
      <w:lvlText w:val=""/>
      <w:lvlJc w:val="left"/>
    </w:lvl>
    <w:lvl w:ilvl="7" w:tplc="56705996">
      <w:numFmt w:val="decimal"/>
      <w:lvlText w:val=""/>
      <w:lvlJc w:val="left"/>
    </w:lvl>
    <w:lvl w:ilvl="8" w:tplc="236E9318">
      <w:numFmt w:val="decimal"/>
      <w:lvlText w:val=""/>
      <w:lvlJc w:val="left"/>
    </w:lvl>
  </w:abstractNum>
  <w:abstractNum w:abstractNumId="2" w15:restartNumberingAfterBreak="0">
    <w:nsid w:val="6F555816"/>
    <w:multiLevelType w:val="hybridMultilevel"/>
    <w:tmpl w:val="1010A674"/>
    <w:lvl w:ilvl="0" w:tplc="53B83464">
      <w:start w:val="1"/>
      <w:numFmt w:val="bullet"/>
      <w:lvlText w:val="•"/>
      <w:lvlJc w:val="left"/>
      <w:pPr>
        <w:ind w:left="504" w:hanging="288"/>
      </w:pPr>
    </w:lvl>
    <w:lvl w:ilvl="1" w:tplc="39027284">
      <w:numFmt w:val="decimal"/>
      <w:lvlText w:val=""/>
      <w:lvlJc w:val="left"/>
    </w:lvl>
    <w:lvl w:ilvl="2" w:tplc="9146B780">
      <w:numFmt w:val="decimal"/>
      <w:lvlText w:val=""/>
      <w:lvlJc w:val="left"/>
    </w:lvl>
    <w:lvl w:ilvl="3" w:tplc="56E63A3C">
      <w:numFmt w:val="decimal"/>
      <w:lvlText w:val=""/>
      <w:lvlJc w:val="left"/>
    </w:lvl>
    <w:lvl w:ilvl="4" w:tplc="8AB0E852">
      <w:numFmt w:val="decimal"/>
      <w:lvlText w:val=""/>
      <w:lvlJc w:val="left"/>
    </w:lvl>
    <w:lvl w:ilvl="5" w:tplc="58B813B4">
      <w:numFmt w:val="decimal"/>
      <w:lvlText w:val=""/>
      <w:lvlJc w:val="left"/>
    </w:lvl>
    <w:lvl w:ilvl="6" w:tplc="500C53A6">
      <w:numFmt w:val="decimal"/>
      <w:lvlText w:val=""/>
      <w:lvlJc w:val="left"/>
    </w:lvl>
    <w:lvl w:ilvl="7" w:tplc="595223E8">
      <w:numFmt w:val="decimal"/>
      <w:lvlText w:val=""/>
      <w:lvlJc w:val="left"/>
    </w:lvl>
    <w:lvl w:ilvl="8" w:tplc="C2F48D86">
      <w:numFmt w:val="decimal"/>
      <w:lvlText w:val=""/>
      <w:lvlJc w:val="left"/>
    </w:lvl>
  </w:abstractNum>
  <w:num w:numId="1" w16cid:durableId="1159150195">
    <w:abstractNumId w:val="0"/>
    <w:lvlOverride w:ilvl="0">
      <w:startOverride w:val="1"/>
    </w:lvlOverride>
  </w:num>
  <w:num w:numId="2" w16cid:durableId="16224900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C09"/>
    <w:rsid w:val="003E30CE"/>
    <w:rsid w:val="004338AD"/>
    <w:rsid w:val="00606493"/>
    <w:rsid w:val="00EE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16C8"/>
  <w15:docId w15:val="{89F922D5-7FDC-4600-AF74-F39482D8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Maggie Baty</cp:lastModifiedBy>
  <cp:revision>3</cp:revision>
  <dcterms:created xsi:type="dcterms:W3CDTF">2026-08-13T20:30:00Z</dcterms:created>
  <dcterms:modified xsi:type="dcterms:W3CDTF">2026-08-14T13:20:00Z</dcterms:modified>
</cp:coreProperties>
</file>