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Board Recruitment &amp; Succession Policy</w:t>
      </w:r>
    </w:p>
    <w:p>
      <w:pPr>
        <w:spacing w:after="240"/>
      </w:pPr>
      <w:r>
        <w:rPr>
          <w:rFonts w:ascii="Calibri" w:cs="Calibri" w:eastAsia="Calibri" w:hAnsi="Calibri"/>
          <w:i/>
          <w:iCs/>
          <w:color w:val="555555"/>
          <w:sz w:val="22"/>
          <w:szCs w:val="22"/>
        </w:rPr>
        <w:t xml:space="preserve">Adopted by the Board of Directors of AGHF Inc. d/b/a AgroHouse Foundation™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Purpose</w:t>
      </w:r>
    </w:p>
    <w:p>
      <w:pPr>
        <w:spacing w:after="160" w:line="276"/>
        <w:jc w:val="left"/>
      </w:pPr>
      <w:r>
        <w:rPr>
          <w:rFonts w:ascii="Calibri" w:cs="Calibri" w:eastAsia="Calibri" w:hAnsi="Calibri"/>
          <w:b w:val="false"/>
          <w:bCs w:val="false"/>
          <w:i w:val="false"/>
          <w:iCs w:val="false"/>
          <w:sz w:val="21"/>
          <w:szCs w:val="21"/>
        </w:rPr>
        <w:t xml:space="preserve">This policy establishes a framework for growing and renewing the Board of Directors of AGHF Inc. d/b/a AgroHouse Foundation™ in a manner that supports sound governance, program growth, and long-term organizational sustainability.</w:t>
      </w:r>
    </w:p>
    <w:p>
      <w:pPr>
        <w:pStyle w:val="Heading1"/>
        <w:pBdr>
          <w:bottom w:val="single" w:color="3C7A3F" w:sz="4" w:space="2"/>
        </w:pBdr>
        <w:spacing w:after="120" w:before="240"/>
      </w:pPr>
      <w:r>
        <w:rPr>
          <w:rFonts w:ascii="Calibri" w:cs="Calibri" w:eastAsia="Calibri" w:hAnsi="Calibri"/>
          <w:b/>
          <w:bCs/>
          <w:color w:val="1F5E2B"/>
          <w:sz w:val="26"/>
          <w:szCs w:val="26"/>
        </w:rPr>
        <w:t xml:space="preserve">Board Growth Strategy</w:t>
      </w:r>
    </w:p>
    <w:p>
      <w:pPr>
        <w:spacing w:after="160" w:line="276"/>
        <w:jc w:val="left"/>
      </w:pPr>
      <w:r>
        <w:rPr>
          <w:rFonts w:ascii="Calibri" w:cs="Calibri" w:eastAsia="Calibri" w:hAnsi="Calibri"/>
          <w:b w:val="false"/>
          <w:bCs w:val="false"/>
          <w:i w:val="false"/>
          <w:iCs w:val="false"/>
          <w:sz w:val="21"/>
          <w:szCs w:val="21"/>
        </w:rPr>
        <w:t xml:space="preserve">The Board recognizes that as AgroHouse Foundation™ grows beyond its founding members, it will benefit from directors who bring complementary skills, including nonprofit finance, agriculture/homesteading expertise, community development, legal, and fundraising experience. The Board shall target a size of five to nine directors within its first two years of operation.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Recruitment Process</w:t>
      </w:r>
    </w:p>
    <w:p>
      <w:pPr>
        <w:pStyle w:val="ListParagraph"/>
        <w:numPr>
          <w:ilvl w:val="0"/>
          <w:numId w:val="2"/>
        </w:numPr>
        <w:spacing w:after="100" w:line="264"/>
      </w:pPr>
      <w:r>
        <w:rPr>
          <w:rFonts w:ascii="Calibri" w:cs="Calibri" w:eastAsia="Calibri" w:hAnsi="Calibri"/>
          <w:sz w:val="21"/>
          <w:szCs w:val="21"/>
        </w:rPr>
        <w:t xml:space="preserve">The Board (or a Governance Committee, once formed) identifies skill and experience gaps annually.</w:t>
      </w:r>
    </w:p>
    <w:p>
      <w:pPr>
        <w:pStyle w:val="ListParagraph"/>
        <w:numPr>
          <w:ilvl w:val="0"/>
          <w:numId w:val="2"/>
        </w:numPr>
        <w:spacing w:after="100" w:line="264"/>
      </w:pPr>
      <w:r>
        <w:rPr>
          <w:rFonts w:ascii="Calibri" w:cs="Calibri" w:eastAsia="Calibri" w:hAnsi="Calibri"/>
          <w:sz w:val="21"/>
          <w:szCs w:val="21"/>
        </w:rPr>
        <w:t xml:space="preserve">Prospective directors are identified through Board member referrals, community partners, and program stakeholders.</w:t>
      </w:r>
    </w:p>
    <w:p>
      <w:pPr>
        <w:pStyle w:val="ListParagraph"/>
        <w:numPr>
          <w:ilvl w:val="0"/>
          <w:numId w:val="2"/>
        </w:numPr>
        <w:spacing w:after="100" w:line="264"/>
      </w:pPr>
      <w:r>
        <w:rPr>
          <w:rFonts w:ascii="Calibri" w:cs="Calibri" w:eastAsia="Calibri" w:hAnsi="Calibri"/>
          <w:sz w:val="21"/>
          <w:szCs w:val="21"/>
        </w:rPr>
        <w:t xml:space="preserve">Candidates meet with the Chairperson and at least one other director prior to nomination.</w:t>
      </w:r>
    </w:p>
    <w:p>
      <w:pPr>
        <w:pStyle w:val="ListParagraph"/>
        <w:numPr>
          <w:ilvl w:val="0"/>
          <w:numId w:val="2"/>
        </w:numPr>
        <w:spacing w:after="100" w:line="264"/>
      </w:pPr>
      <w:r>
        <w:rPr>
          <w:rFonts w:ascii="Calibri" w:cs="Calibri" w:eastAsia="Calibri" w:hAnsi="Calibri"/>
          <w:sz w:val="21"/>
          <w:szCs w:val="21"/>
        </w:rPr>
        <w:t xml:space="preserve">New directors are elected by majority vote of the sitting Board in accordance with the Bylaws.</w:t>
      </w:r>
    </w:p>
    <w:p>
      <w:pPr>
        <w:pStyle w:val="ListParagraph"/>
        <w:numPr>
          <w:ilvl w:val="0"/>
          <w:numId w:val="2"/>
        </w:numPr>
        <w:spacing w:after="100" w:line="264"/>
      </w:pPr>
      <w:r>
        <w:rPr>
          <w:rFonts w:ascii="Calibri" w:cs="Calibri" w:eastAsia="Calibri" w:hAnsi="Calibri"/>
          <w:sz w:val="21"/>
          <w:szCs w:val="21"/>
        </w:rPr>
        <w:t xml:space="preserve">New directors receive an orientation packet covering the Bylaws, Conflict of Interest Policy, Financial Controls Policy, and current program materials.</w:t>
      </w:r>
    </w:p>
    <w:p>
      <w:pPr>
        <w:pStyle w:val="Heading1"/>
        <w:pBdr>
          <w:bottom w:val="single" w:color="3C7A3F" w:sz="4" w:space="2"/>
        </w:pBdr>
        <w:spacing w:after="120" w:before="240"/>
      </w:pPr>
      <w:r>
        <w:rPr>
          <w:rFonts w:ascii="Calibri" w:cs="Calibri" w:eastAsia="Calibri" w:hAnsi="Calibri"/>
          <w:b/>
          <w:bCs/>
          <w:color w:val="1F5E2B"/>
          <w:sz w:val="26"/>
          <w:szCs w:val="26"/>
        </w:rPr>
        <w:t xml:space="preserve">Officer Succession Planning</w:t>
      </w:r>
    </w:p>
    <w:p>
      <w:pPr>
        <w:spacing w:after="160" w:line="276"/>
        <w:jc w:val="left"/>
      </w:pPr>
      <w:r>
        <w:rPr>
          <w:rFonts w:ascii="Calibri" w:cs="Calibri" w:eastAsia="Calibri" w:hAnsi="Calibri"/>
          <w:b w:val="false"/>
          <w:bCs w:val="false"/>
          <w:i w:val="false"/>
          <w:iCs w:val="false"/>
          <w:sz w:val="21"/>
          <w:szCs w:val="21"/>
        </w:rPr>
        <w:t xml:space="preserve">To ensure continuity of leadership, the Board shall:</w:t>
      </w:r>
    </w:p>
    <w:p>
      <w:pPr>
        <w:pStyle w:val="ListParagraph"/>
        <w:numPr>
          <w:ilvl w:val="0"/>
          <w:numId w:val="2"/>
        </w:numPr>
        <w:spacing w:after="100" w:line="264"/>
      </w:pPr>
      <w:r>
        <w:rPr>
          <w:rFonts w:ascii="Calibri" w:cs="Calibri" w:eastAsia="Calibri" w:hAnsi="Calibri"/>
          <w:sz w:val="21"/>
          <w:szCs w:val="21"/>
        </w:rPr>
        <w:t xml:space="preserve">Maintain awareness of officers' anticipated terms and potential transitions.</w:t>
      </w:r>
    </w:p>
    <w:p>
      <w:pPr>
        <w:pStyle w:val="ListParagraph"/>
        <w:numPr>
          <w:ilvl w:val="0"/>
          <w:numId w:val="2"/>
        </w:numPr>
        <w:spacing w:after="100" w:line="264"/>
      </w:pPr>
      <w:r>
        <w:rPr>
          <w:rFonts w:ascii="Calibri" w:cs="Calibri" w:eastAsia="Calibri" w:hAnsi="Calibri"/>
          <w:sz w:val="21"/>
          <w:szCs w:val="21"/>
        </w:rPr>
        <w:t xml:space="preserve">Encourage officers to mentor at least one other director in their respective duties.</w:t>
      </w:r>
    </w:p>
    <w:p>
      <w:pPr>
        <w:pStyle w:val="ListParagraph"/>
        <w:numPr>
          <w:ilvl w:val="0"/>
          <w:numId w:val="2"/>
        </w:numPr>
        <w:spacing w:after="100" w:line="264"/>
      </w:pPr>
      <w:r>
        <w:rPr>
          <w:rFonts w:ascii="Calibri" w:cs="Calibri" w:eastAsia="Calibri" w:hAnsi="Calibri"/>
          <w:sz w:val="21"/>
          <w:szCs w:val="21"/>
        </w:rPr>
        <w:t xml:space="preserve">Ensure the Secretary maintains an up-to-date corporate records index accessible to incoming officers.</w:t>
      </w:r>
    </w:p>
    <w:p>
      <w:pPr>
        <w:pStyle w:val="ListParagraph"/>
        <w:numPr>
          <w:ilvl w:val="0"/>
          <w:numId w:val="2"/>
        </w:numPr>
        <w:spacing w:after="100" w:line="264"/>
      </w:pPr>
      <w:r>
        <w:rPr>
          <w:rFonts w:ascii="Calibri" w:cs="Calibri" w:eastAsia="Calibri" w:hAnsi="Calibri"/>
          <w:sz w:val="21"/>
          <w:szCs w:val="21"/>
        </w:rPr>
        <w:t xml:space="preserve">Conduct a leadership transition review whenever an officer position becomes vacant unexpectedly.</w:t>
      </w:r>
    </w:p>
    <w:p>
      <w:pPr>
        <w:pStyle w:val="Heading1"/>
        <w:pBdr>
          <w:bottom w:val="single" w:color="3C7A3F" w:sz="4" w:space="2"/>
        </w:pBdr>
        <w:spacing w:after="120" w:before="240"/>
      </w:pPr>
      <w:r>
        <w:rPr>
          <w:rFonts w:ascii="Calibri" w:cs="Calibri" w:eastAsia="Calibri" w:hAnsi="Calibri"/>
          <w:b/>
          <w:bCs/>
          <w:color w:val="1F5E2B"/>
          <w:sz w:val="26"/>
          <w:szCs w:val="26"/>
        </w:rPr>
        <w:t xml:space="preserve">Board Vacancy Procedures</w:t>
      </w:r>
    </w:p>
    <w:p>
      <w:pPr>
        <w:spacing w:after="160" w:line="276"/>
        <w:jc w:val="left"/>
      </w:pPr>
      <w:r>
        <w:rPr>
          <w:rFonts w:ascii="Calibri" w:cs="Calibri" w:eastAsia="Calibri" w:hAnsi="Calibri"/>
          <w:b w:val="false"/>
          <w:bCs w:val="false"/>
          <w:i w:val="false"/>
          <w:iCs w:val="false"/>
          <w:sz w:val="21"/>
          <w:szCs w:val="21"/>
        </w:rPr>
        <w:t xml:space="preserve">In the event of a Board vacancy, whether by resignation, removal, or otherwise, the remaining directors shall, as soon as practicable and in accordance with the Bylaws:</w:t>
      </w:r>
    </w:p>
    <w:p>
      <w:pPr>
        <w:pStyle w:val="ListParagraph"/>
        <w:numPr>
          <w:ilvl w:val="0"/>
          <w:numId w:val="2"/>
        </w:numPr>
        <w:spacing w:after="100" w:line="264"/>
      </w:pPr>
      <w:r>
        <w:rPr>
          <w:rFonts w:ascii="Calibri" w:cs="Calibri" w:eastAsia="Calibri" w:hAnsi="Calibri"/>
          <w:sz w:val="21"/>
          <w:szCs w:val="21"/>
        </w:rPr>
        <w:t xml:space="preserve">Determine whether the vacancy should be filled immediately or at the next scheduled election.</w:t>
      </w:r>
    </w:p>
    <w:p>
      <w:pPr>
        <w:pStyle w:val="ListParagraph"/>
        <w:numPr>
          <w:ilvl w:val="0"/>
          <w:numId w:val="2"/>
        </w:numPr>
        <w:spacing w:after="100" w:line="264"/>
      </w:pPr>
      <w:r>
        <w:rPr>
          <w:rFonts w:ascii="Calibri" w:cs="Calibri" w:eastAsia="Calibri" w:hAnsi="Calibri"/>
          <w:sz w:val="21"/>
          <w:szCs w:val="21"/>
        </w:rPr>
        <w:t xml:space="preserve">Identify and vet a replacement candidate consistent with this policy's recruitment process.</w:t>
      </w:r>
    </w:p>
    <w:p>
      <w:pPr>
        <w:pStyle w:val="ListParagraph"/>
        <w:numPr>
          <w:ilvl w:val="0"/>
          <w:numId w:val="2"/>
        </w:numPr>
        <w:spacing w:after="100" w:line="264"/>
      </w:pPr>
      <w:r>
        <w:rPr>
          <w:rFonts w:ascii="Calibri" w:cs="Calibri" w:eastAsia="Calibri" w:hAnsi="Calibri"/>
          <w:sz w:val="21"/>
          <w:szCs w:val="21"/>
        </w:rPr>
        <w:t xml:space="preserve">Document the vacancy and any interim officer designation in the Board minutes.</w:t>
      </w:r>
    </w:p>
    <w:p>
      <w:pPr>
        <w:pStyle w:val="Heading1"/>
        <w:pBdr>
          <w:bottom w:val="single" w:color="3C7A3F" w:sz="4" w:space="2"/>
        </w:pBdr>
        <w:spacing w:after="120" w:before="240"/>
      </w:pPr>
      <w:r>
        <w:rPr>
          <w:rFonts w:ascii="Calibri" w:cs="Calibri" w:eastAsia="Calibri" w:hAnsi="Calibri"/>
          <w:b/>
          <w:bCs/>
          <w:color w:val="1F5E2B"/>
          <w:sz w:val="26"/>
          <w:szCs w:val="26"/>
        </w:rPr>
        <w:t xml:space="preserve">Term Limits</w:t>
      </w:r>
    </w:p>
    <w:p>
      <w:pPr>
        <w:spacing w:after="160" w:line="276"/>
        <w:jc w:val="left"/>
      </w:pPr>
      <w:r>
        <w:rPr>
          <w:rFonts w:ascii="Calibri" w:cs="Calibri" w:eastAsia="Calibri" w:hAnsi="Calibri"/>
          <w:b w:val="false"/>
          <w:bCs w:val="false"/>
          <w:i w:val="false"/>
          <w:iCs w:val="false"/>
          <w:sz w:val="21"/>
          <w:szCs w:val="21"/>
        </w:rPr>
        <w:t xml:space="preserve">Directors serve terms as set forth in the Bylaws. The Board may, from time to time, consider term limits or staggered terms as the organization matures, and any such change shall be adopted by Board resolution and reflected in the Bylaws.</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Adopted by the Board of Directors — Secretary Certification</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GOVERNANCE &amp; CORPORATE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2026-08-13T20:30:37.841Z</dcterms:created>
  <dcterms:modified xsi:type="dcterms:W3CDTF">2026-08-13T20:30:37.841Z</dcterms:modified>
</cp:coreProperties>
</file>

<file path=docProps/custom.xml><?xml version="1.0" encoding="utf-8"?>
<Properties xmlns="http://schemas.openxmlformats.org/officeDocument/2006/custom-properties" xmlns:vt="http://schemas.openxmlformats.org/officeDocument/2006/docPropsVTypes"/>
</file>