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501(c)(3) Filing Strategy</w:t>
      </w:r>
    </w:p>
    <w:p>
      <w:pPr>
        <w:spacing w:after="240"/>
      </w:pPr>
      <w:r>
        <w:rPr>
          <w:rFonts w:ascii="Calibri" w:cs="Calibri" w:eastAsia="Calibri" w:hAnsi="Calibri"/>
          <w:i/>
          <w:iCs/>
          <w:color w:val="555555"/>
          <w:sz w:val="22"/>
          <w:szCs w:val="22"/>
        </w:rPr>
        <w:t xml:space="preserve">Form 1023 vs. 1023-EZ Review — 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document outlines AGHF Inc.'s strategy for applying to the IRS for recognition of tax-exempt status under Section 501(c)(3) of the Internal Revenue Code, and the process, timeline, and funding needed to complete that filing.</w:t>
      </w:r>
    </w:p>
    <w:p>
      <w:pPr>
        <w:pStyle w:val="Heading1"/>
        <w:pBdr>
          <w:bottom w:val="single" w:color="3C7A3F" w:sz="4" w:space="2"/>
        </w:pBdr>
        <w:spacing w:after="120" w:before="240"/>
      </w:pPr>
      <w:r>
        <w:rPr>
          <w:rFonts w:ascii="Calibri" w:cs="Calibri" w:eastAsia="Calibri" w:hAnsi="Calibri"/>
          <w:b/>
          <w:bCs/>
          <w:color w:val="1F5E2B"/>
          <w:sz w:val="26"/>
          <w:szCs w:val="26"/>
        </w:rPr>
        <w:t xml:space="preserve">Form 1023 vs. Form 1023-EZ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50"/>
        <w:gridCol w:w="3700"/>
        <w:gridCol w:w="3700"/>
      </w:tblGrid>
      <w:tr>
        <w:trPr>
          <w:tblHeader/>
        </w:trPr>
        <w:tc>
          <w:tcPr>
            <w:tcW w:type="dxa" w:w="195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Factor</w:t>
            </w:r>
          </w:p>
        </w:tc>
        <w:tc>
          <w:tcPr>
            <w:tcW w:type="dxa" w:w="195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Form 1023-EZ</w:t>
            </w:r>
          </w:p>
        </w:tc>
        <w:tc>
          <w:tcPr>
            <w:tcW w:type="dxa" w:w="1950"/>
            <w:shd w:fill="E8F3E6" w:val="clear"/>
            <w:tcMar>
              <w:top w:type="dxa" w:w="80"/>
              <w:left w:type="dxa" w:w="100"/>
              <w:bottom w:type="dxa" w:w="80"/>
              <w:right w:type="dxa" w:w="100"/>
            </w:tcMar>
            <w:vAlign w:val="center"/>
          </w:tcPr>
          <w:p>
            <w:r>
              <w:rPr>
                <w:rFonts w:ascii="Calibri" w:cs="Calibri" w:eastAsia="Calibri" w:hAnsi="Calibri"/>
                <w:b/>
                <w:bCs/>
                <w:color w:val="1F5E2B"/>
                <w:sz w:val="19"/>
                <w:szCs w:val="19"/>
              </w:rPr>
              <w:t xml:space="preserve">Form 1023 (full)</w:t>
            </w:r>
          </w:p>
        </w:tc>
      </w:tr>
      <w:tr>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Eligibility</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Projected gross receipts ≤ $50,000/yr for 3 years; assets ≤ $250,000</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Required if EZ eligibility is not met, or organization prefers full review</w:t>
            </w:r>
          </w:p>
        </w:tc>
      </w:tr>
      <w:tr>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Filing Fee</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$275</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$600</w:t>
            </w:r>
          </w:p>
        </w:tc>
      </w:tr>
      <w:tr>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Processing Time</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Typically faster (weeks to a few months)</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Typically longer (several months to a year+)</w:t>
            </w:r>
          </w:p>
        </w:tc>
      </w:tr>
      <w:tr>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Narrative Detail</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Minimal — attestation-based</w:t>
            </w:r>
          </w:p>
        </w:tc>
        <w:tc>
          <w:tcPr>
            <w:tcW w:type="dxa" w:w="195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Detailed narrative of activities, finances, and governance required</w:t>
            </w:r>
          </w:p>
        </w:tc>
      </w:tr>
    </w:tbl>
    <w:p>
      <w:pPr>
        <w:pStyle w:val="Heading1"/>
        <w:pBdr>
          <w:bottom w:val="single" w:color="3C7A3F" w:sz="4" w:space="2"/>
        </w:pBdr>
        <w:spacing w:after="120" w:before="240"/>
      </w:pPr>
      <w:r>
        <w:rPr>
          <w:rFonts w:ascii="Calibri" w:cs="Calibri" w:eastAsia="Calibri" w:hAnsi="Calibri"/>
          <w:b/>
          <w:bCs/>
          <w:color w:val="1F5E2B"/>
          <w:sz w:val="26"/>
          <w:szCs w:val="26"/>
        </w:rPr>
        <w:t xml:space="preserve">Recommended Approach</w:t>
      </w:r>
    </w:p>
    <w:p>
      <w:pPr>
        <w:spacing w:after="160" w:line="276"/>
        <w:jc w:val="left"/>
      </w:pPr>
      <w:r>
        <w:rPr>
          <w:rFonts w:ascii="Calibri" w:cs="Calibri" w:eastAsia="Calibri" w:hAnsi="Calibri"/>
          <w:b w:val="false"/>
          <w:bCs w:val="false"/>
          <w:i w:val="false"/>
          <w:iCs w:val="false"/>
          <w:sz w:val="21"/>
          <w:szCs w:val="21"/>
        </w:rPr>
        <w:t xml:space="preserve">Given AGHF Inc.'s early-stage budget and Program 1 scope, the Organization should first complete the IRS's Form 1023-EZ Eligibility Worksheet once the Program 1 Budget Approval Package is finalized. If projected annual gross receipts and assets fall within the 1023-EZ thresholds, the Organization should file Form 1023-EZ to minimize cost and processing time. If projected receipts exceed the thresholds (for example, due to a significant grant or in-kind donation), the Organization should prepare the full Form 1023.</w:t>
      </w:r>
    </w:p>
    <w:p>
      <w:pPr>
        <w:pStyle w:val="Heading1"/>
        <w:pBdr>
          <w:bottom w:val="single" w:color="3C7A3F" w:sz="4" w:space="2"/>
        </w:pBdr>
        <w:spacing w:after="120" w:before="240"/>
      </w:pPr>
      <w:r>
        <w:rPr>
          <w:rFonts w:ascii="Calibri" w:cs="Calibri" w:eastAsia="Calibri" w:hAnsi="Calibri"/>
          <w:b/>
          <w:bCs/>
          <w:color w:val="1F5E2B"/>
          <w:sz w:val="26"/>
          <w:szCs w:val="26"/>
        </w:rPr>
        <w:t xml:space="preserve">Filing Timeline</w:t>
      </w:r>
    </w:p>
    <w:p>
      <w:pPr>
        <w:pStyle w:val="ListParagraph"/>
        <w:numPr>
          <w:ilvl w:val="0"/>
          <w:numId w:val="2"/>
        </w:numPr>
        <w:spacing w:after="100" w:line="264"/>
      </w:pPr>
      <w:r>
        <w:rPr>
          <w:rFonts w:ascii="Calibri" w:cs="Calibri" w:eastAsia="Calibri" w:hAnsi="Calibri"/>
          <w:sz w:val="21"/>
          <w:szCs w:val="21"/>
        </w:rPr>
        <w:t xml:space="preserve">Finalize Board approval of Program 1 (Charter, Operating Policy, Budget, Staffing, Launch Authorization).</w:t>
      </w:r>
    </w:p>
    <w:p>
      <w:pPr>
        <w:pStyle w:val="ListParagraph"/>
        <w:numPr>
          <w:ilvl w:val="0"/>
          <w:numId w:val="2"/>
        </w:numPr>
        <w:spacing w:after="100" w:line="264"/>
      </w:pPr>
      <w:r>
        <w:rPr>
          <w:rFonts w:ascii="Calibri" w:cs="Calibri" w:eastAsia="Calibri" w:hAnsi="Calibri"/>
          <w:sz w:val="21"/>
          <w:szCs w:val="21"/>
        </w:rPr>
        <w:t xml:space="preserve">Complete FDACS registration (or have it pending) to support the narrative of planned activities.</w:t>
      </w:r>
    </w:p>
    <w:p>
      <w:pPr>
        <w:pStyle w:val="ListParagraph"/>
        <w:numPr>
          <w:ilvl w:val="0"/>
          <w:numId w:val="2"/>
        </w:numPr>
        <w:spacing w:after="100" w:line="264"/>
      </w:pPr>
      <w:r>
        <w:rPr>
          <w:rFonts w:ascii="Calibri" w:cs="Calibri" w:eastAsia="Calibri" w:hAnsi="Calibri"/>
          <w:sz w:val="21"/>
          <w:szCs w:val="21"/>
        </w:rPr>
        <w:t xml:space="preserve">Run the 1023-EZ eligibility worksheet; confirm form selection.</w:t>
      </w:r>
    </w:p>
    <w:p>
      <w:pPr>
        <w:pStyle w:val="ListParagraph"/>
        <w:numPr>
          <w:ilvl w:val="0"/>
          <w:numId w:val="2"/>
        </w:numPr>
        <w:spacing w:after="100" w:line="264"/>
      </w:pPr>
      <w:r>
        <w:rPr>
          <w:rFonts w:ascii="Calibri" w:cs="Calibri" w:eastAsia="Calibri" w:hAnsi="Calibri"/>
          <w:sz w:val="21"/>
          <w:szCs w:val="21"/>
        </w:rPr>
        <w:t xml:space="preserve">Prepare and file within the 27-month window following incorporation (August 3, 2026) to preserve retroactive exemption to the date of incorporation.</w:t>
      </w:r>
    </w:p>
    <w:p>
      <w:pPr>
        <w:pStyle w:val="ListParagraph"/>
        <w:numPr>
          <w:ilvl w:val="0"/>
          <w:numId w:val="2"/>
        </w:numPr>
        <w:spacing w:after="100" w:line="264"/>
      </w:pPr>
      <w:r>
        <w:rPr>
          <w:rFonts w:ascii="Calibri" w:cs="Calibri" w:eastAsia="Calibri" w:hAnsi="Calibri"/>
          <w:sz w:val="21"/>
          <w:szCs w:val="21"/>
        </w:rPr>
        <w:t xml:space="preserve">Track IRS processing status and respond to any additional information requests.</w:t>
      </w:r>
    </w:p>
    <w:p>
      <w:pPr>
        <w:pStyle w:val="Heading1"/>
        <w:pBdr>
          <w:bottom w:val="single" w:color="3C7A3F" w:sz="4" w:space="2"/>
        </w:pBdr>
        <w:spacing w:after="120" w:before="240"/>
      </w:pPr>
      <w:r>
        <w:rPr>
          <w:rFonts w:ascii="Calibri" w:cs="Calibri" w:eastAsia="Calibri" w:hAnsi="Calibri"/>
          <w:b/>
          <w:bCs/>
          <w:color w:val="1F5E2B"/>
          <w:sz w:val="26"/>
          <w:szCs w:val="26"/>
        </w:rPr>
        <w:t xml:space="preserve">Required Supporting Documents</w:t>
      </w:r>
    </w:p>
    <w:p>
      <w:pPr>
        <w:pStyle w:val="ListParagraph"/>
        <w:numPr>
          <w:ilvl w:val="0"/>
          <w:numId w:val="2"/>
        </w:numPr>
        <w:spacing w:after="100" w:line="264"/>
      </w:pPr>
      <w:r>
        <w:rPr>
          <w:rFonts w:ascii="Calibri" w:cs="Calibri" w:eastAsia="Calibri" w:hAnsi="Calibri"/>
          <w:sz w:val="21"/>
          <w:szCs w:val="21"/>
        </w:rPr>
        <w:t xml:space="preserve">Articles of Incorporation (filed copy) and Bylaws.</w:t>
      </w:r>
    </w:p>
    <w:p>
      <w:pPr>
        <w:pStyle w:val="ListParagraph"/>
        <w:numPr>
          <w:ilvl w:val="0"/>
          <w:numId w:val="2"/>
        </w:numPr>
        <w:spacing w:after="100" w:line="264"/>
      </w:pPr>
      <w:r>
        <w:rPr>
          <w:rFonts w:ascii="Calibri" w:cs="Calibri" w:eastAsia="Calibri" w:hAnsi="Calibri"/>
          <w:sz w:val="21"/>
          <w:szCs w:val="21"/>
        </w:rPr>
        <w:t xml:space="preserve">EIN confirmation letter (EIN 42-4075687).</w:t>
      </w:r>
    </w:p>
    <w:p>
      <w:pPr>
        <w:pStyle w:val="ListParagraph"/>
        <w:numPr>
          <w:ilvl w:val="0"/>
          <w:numId w:val="2"/>
        </w:numPr>
        <w:spacing w:after="100" w:line="264"/>
      </w:pPr>
      <w:r>
        <w:rPr>
          <w:rFonts w:ascii="Calibri" w:cs="Calibri" w:eastAsia="Calibri" w:hAnsi="Calibri"/>
          <w:sz w:val="21"/>
          <w:szCs w:val="21"/>
        </w:rPr>
        <w:t xml:space="preserve">List of officers and directors.</w:t>
      </w:r>
    </w:p>
    <w:p>
      <w:pPr>
        <w:pStyle w:val="ListParagraph"/>
        <w:numPr>
          <w:ilvl w:val="0"/>
          <w:numId w:val="2"/>
        </w:numPr>
        <w:spacing w:after="100" w:line="264"/>
      </w:pPr>
      <w:r>
        <w:rPr>
          <w:rFonts w:ascii="Calibri" w:cs="Calibri" w:eastAsia="Calibri" w:hAnsi="Calibri"/>
          <w:sz w:val="21"/>
          <w:szCs w:val="21"/>
        </w:rPr>
        <w:t xml:space="preserve">Conflict of Interest Policy (adopted).</w:t>
      </w:r>
    </w:p>
    <w:p>
      <w:pPr>
        <w:pStyle w:val="ListParagraph"/>
        <w:numPr>
          <w:ilvl w:val="0"/>
          <w:numId w:val="2"/>
        </w:numPr>
        <w:spacing w:after="100" w:line="264"/>
      </w:pPr>
      <w:r>
        <w:rPr>
          <w:rFonts w:ascii="Calibri" w:cs="Calibri" w:eastAsia="Calibri" w:hAnsi="Calibri"/>
          <w:sz w:val="21"/>
          <w:szCs w:val="21"/>
        </w:rPr>
        <w:t xml:space="preserve">Program descriptions and budget (Program 1 Charter and Budget Approval Package).</w:t>
      </w:r>
    </w:p>
    <w:p>
      <w:pPr>
        <w:pStyle w:val="ListParagraph"/>
        <w:numPr>
          <w:ilvl w:val="0"/>
          <w:numId w:val="2"/>
        </w:numPr>
        <w:spacing w:after="100" w:line="264"/>
      </w:pPr>
      <w:r>
        <w:rPr>
          <w:rFonts w:ascii="Calibri" w:cs="Calibri" w:eastAsia="Calibri" w:hAnsi="Calibri"/>
          <w:sz w:val="21"/>
          <w:szCs w:val="21"/>
        </w:rPr>
        <w:t xml:space="preserve">Financial data or projections for the current and next two fiscal years (full Form 1023 only).</w:t>
      </w:r>
    </w:p>
    <w:p>
      <w:pPr>
        <w:pStyle w:val="Heading1"/>
        <w:pBdr>
          <w:bottom w:val="single" w:color="3C7A3F" w:sz="4" w:space="2"/>
        </w:pBdr>
        <w:spacing w:after="120" w:before="240"/>
      </w:pPr>
      <w:r>
        <w:rPr>
          <w:rFonts w:ascii="Calibri" w:cs="Calibri" w:eastAsia="Calibri" w:hAnsi="Calibri"/>
          <w:b/>
          <w:bCs/>
          <w:color w:val="1F5E2B"/>
          <w:sz w:val="26"/>
          <w:szCs w:val="26"/>
        </w:rPr>
        <w:t xml:space="preserve">Filing Fee Funding Strategy</w:t>
      </w:r>
    </w:p>
    <w:p>
      <w:pPr>
        <w:spacing w:after="160" w:line="276"/>
        <w:jc w:val="left"/>
      </w:pPr>
      <w:r>
        <w:rPr>
          <w:rFonts w:ascii="Calibri" w:cs="Calibri" w:eastAsia="Calibri" w:hAnsi="Calibri"/>
          <w:b w:val="false"/>
          <w:bCs w:val="false"/>
          <w:i w:val="false"/>
          <w:iCs w:val="false"/>
          <w:sz w:val="21"/>
          <w:szCs w:val="21"/>
        </w:rPr>
        <w:t xml:space="preserve">The Board should approve the $275 (or $600, if full Form 1023 is required) filing fee as a line item in the organizational startup budget. The Board may also consider a small designated fundraising ask, or funding from founder contributions, to ensure the fee is available when the application is ready to submit.</w:t>
      </w:r>
    </w:p>
    <w:p>
      <w:pPr>
        <w:pStyle w:val="Heading1"/>
        <w:pBdr>
          <w:bottom w:val="single" w:color="3C7A3F" w:sz="4" w:space="2"/>
        </w:pBdr>
        <w:spacing w:after="120" w:before="240"/>
      </w:pPr>
      <w:r>
        <w:rPr>
          <w:rFonts w:ascii="Calibri" w:cs="Calibri" w:eastAsia="Calibri" w:hAnsi="Calibri"/>
          <w:b/>
          <w:bCs/>
          <w:color w:val="1F5E2B"/>
          <w:sz w:val="26"/>
          <w:szCs w:val="26"/>
        </w:rPr>
        <w:t xml:space="preserve">Retroactive Deductibility</w:t>
      </w:r>
    </w:p>
    <w:p>
      <w:pPr>
        <w:spacing w:after="160" w:line="276"/>
        <w:jc w:val="left"/>
      </w:pPr>
      <w:r>
        <w:rPr>
          <w:rFonts w:ascii="Calibri" w:cs="Calibri" w:eastAsia="Calibri" w:hAnsi="Calibri"/>
          <w:b w:val="false"/>
          <w:bCs w:val="false"/>
          <w:i w:val="false"/>
          <w:iCs w:val="false"/>
          <w:sz w:val="21"/>
          <w:szCs w:val="21"/>
        </w:rPr>
        <w:t xml:space="preserve">Donors should be advised that if the IRS grants 501(c)(3) status, recognition is generally retroactive to the corporation's date of incorporation (August 3, 2026) provided the application is filed within 27 months of incorporation. Until the determination letter is received, all donor materials must describe the Organization's status as pending, not granted.</w:t>
      </w:r>
    </w:p>
    <w:p>
      <w:pPr>
        <w:pStyle w:val="Heading1"/>
        <w:pBdr>
          <w:bottom w:val="single" w:color="3C7A3F" w:sz="4" w:space="2"/>
        </w:pBdr>
        <w:spacing w:after="120" w:before="240"/>
      </w:pPr>
      <w:r>
        <w:rPr>
          <w:rFonts w:ascii="Calibri" w:cs="Calibri" w:eastAsia="Calibri" w:hAnsi="Calibri"/>
          <w:b/>
          <w:bCs/>
          <w:color w:val="1F5E2B"/>
          <w:sz w:val="26"/>
          <w:szCs w:val="26"/>
        </w:rPr>
        <w:t xml:space="preserve">Recommended Board Action</w:t>
      </w:r>
    </w:p>
    <w:p>
      <w:pPr>
        <w:spacing w:after="160" w:line="276"/>
        <w:jc w:val="left"/>
      </w:pPr>
      <w:r>
        <w:rPr>
          <w:rFonts w:ascii="Calibri" w:cs="Calibri" w:eastAsia="Calibri" w:hAnsi="Calibri"/>
          <w:b w:val="false"/>
          <w:bCs w:val="false"/>
          <w:i w:val="false"/>
          <w:iCs w:val="false"/>
          <w:sz w:val="21"/>
          <w:szCs w:val="21"/>
        </w:rPr>
        <w:t xml:space="preserve">The Board should authorize the Executive Director to complete and submit the appropriate Form 1023 or 1023-EZ application once Program 1 approvals and the organizational budget are finalized, and to pay the associated filing fee from Organization funds.</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REGULATORY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2026-08-13T20:30:45.954Z</dcterms:created>
  <dcterms:modified xsi:type="dcterms:W3CDTF">2026-08-13T20:30:45.954Z</dcterms:modified>
</cp:coreProperties>
</file>

<file path=docProps/custom.xml><?xml version="1.0" encoding="utf-8"?>
<Properties xmlns="http://schemas.openxmlformats.org/officeDocument/2006/custom-properties" xmlns:vt="http://schemas.openxmlformats.org/officeDocument/2006/docPropsVTypes"/>
</file>