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Donation Acceptance Policy</w:t>
      </w:r>
    </w:p>
    <w:p>
      <w:pPr>
        <w:spacing w:after="240"/>
      </w:pPr>
      <w:r>
        <w:rPr>
          <w:rFonts w:ascii="Calibri" w:cs="Calibri" w:eastAsia="Calibri" w:hAnsi="Calibri"/>
          <w:i/>
          <w:iCs/>
          <w:color w:val="555555"/>
          <w:sz w:val="22"/>
          <w:szCs w:val="22"/>
        </w:rPr>
        <w:t xml:space="preserve">Adopted by the Board of Directors of AGHF Inc. d/b/a AgroHouse Foundation™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Purpose</w:t>
      </w:r>
    </w:p>
    <w:p>
      <w:pPr>
        <w:spacing w:after="160" w:line="276"/>
        <w:jc w:val="left"/>
      </w:pPr>
      <w:r>
        <w:rPr>
          <w:rFonts w:ascii="Calibri" w:cs="Calibri" w:eastAsia="Calibri" w:hAnsi="Calibri"/>
          <w:b w:val="false"/>
          <w:bCs w:val="false"/>
          <w:i w:val="false"/>
          <w:iCs w:val="false"/>
          <w:sz w:val="21"/>
          <w:szCs w:val="21"/>
        </w:rPr>
        <w:t xml:space="preserve">This policy governs the acceptance, acknowledgment, and use of monetary and in-kind donations made to AGHF Inc. d/b/a AgroHouse Foundation™, and establishes clear disclosure practices during the Organization's pending 501(c)(3) status.</w:t>
      </w:r>
    </w:p>
    <w:p>
      <w:pPr>
        <w:pStyle w:val="Heading1"/>
        <w:pBdr>
          <w:bottom w:val="single" w:color="3C7A3F" w:sz="4" w:space="2"/>
        </w:pBdr>
        <w:spacing w:after="120" w:before="240"/>
      </w:pPr>
      <w:r>
        <w:rPr>
          <w:rFonts w:ascii="Calibri" w:cs="Calibri" w:eastAsia="Calibri" w:hAnsi="Calibri"/>
          <w:b/>
          <w:bCs/>
          <w:color w:val="1F5E2B"/>
          <w:sz w:val="26"/>
          <w:szCs w:val="26"/>
        </w:rPr>
        <w:t xml:space="preserve">Types of Donations Accepted</w:t>
      </w:r>
    </w:p>
    <w:p>
      <w:pPr>
        <w:pStyle w:val="ListParagraph"/>
        <w:numPr>
          <w:ilvl w:val="0"/>
          <w:numId w:val="2"/>
        </w:numPr>
        <w:spacing w:after="100" w:line="264"/>
      </w:pPr>
      <w:r>
        <w:rPr>
          <w:rFonts w:ascii="Calibri" w:cs="Calibri" w:eastAsia="Calibri" w:hAnsi="Calibri"/>
          <w:sz w:val="21"/>
          <w:szCs w:val="21"/>
        </w:rPr>
        <w:t xml:space="preserve">Monetary donations (cash, check, electronic payment).</w:t>
      </w:r>
    </w:p>
    <w:p>
      <w:pPr>
        <w:pStyle w:val="ListParagraph"/>
        <w:numPr>
          <w:ilvl w:val="0"/>
          <w:numId w:val="2"/>
        </w:numPr>
        <w:spacing w:after="100" w:line="264"/>
      </w:pPr>
      <w:r>
        <w:rPr>
          <w:rFonts w:ascii="Calibri" w:cs="Calibri" w:eastAsia="Calibri" w:hAnsi="Calibri"/>
          <w:sz w:val="21"/>
          <w:szCs w:val="21"/>
        </w:rPr>
        <w:t xml:space="preserve">In-kind donations of goods or materials supporting Program 1 or future programs.</w:t>
      </w:r>
    </w:p>
    <w:p>
      <w:pPr>
        <w:pStyle w:val="ListParagraph"/>
        <w:numPr>
          <w:ilvl w:val="0"/>
          <w:numId w:val="2"/>
        </w:numPr>
        <w:spacing w:after="100" w:line="264"/>
      </w:pPr>
      <w:r>
        <w:rPr>
          <w:rFonts w:ascii="Calibri" w:cs="Calibri" w:eastAsia="Calibri" w:hAnsi="Calibri"/>
          <w:sz w:val="21"/>
          <w:szCs w:val="21"/>
        </w:rPr>
        <w:t xml:space="preserve">Volunteer time (acknowledged, though not tax-deductible as a charitable contribution under IRS rules).</w:t>
      </w:r>
    </w:p>
    <w:p>
      <w:pPr>
        <w:pStyle w:val="Heading1"/>
        <w:pBdr>
          <w:bottom w:val="single" w:color="3C7A3F" w:sz="4" w:space="2"/>
        </w:pBdr>
        <w:spacing w:after="120" w:before="240"/>
      </w:pPr>
      <w:r>
        <w:rPr>
          <w:rFonts w:ascii="Calibri" w:cs="Calibri" w:eastAsia="Calibri" w:hAnsi="Calibri"/>
          <w:b/>
          <w:bCs/>
          <w:color w:val="1F5E2B"/>
          <w:sz w:val="26"/>
          <w:szCs w:val="26"/>
        </w:rPr>
        <w:t xml:space="preserve">Donations the Organization Will Not Accept Without Board Review</w:t>
      </w:r>
    </w:p>
    <w:p>
      <w:pPr>
        <w:pStyle w:val="ListParagraph"/>
        <w:numPr>
          <w:ilvl w:val="0"/>
          <w:numId w:val="2"/>
        </w:numPr>
        <w:spacing w:after="100" w:line="264"/>
      </w:pPr>
      <w:r>
        <w:rPr>
          <w:rFonts w:ascii="Calibri" w:cs="Calibri" w:eastAsia="Calibri" w:hAnsi="Calibri"/>
          <w:sz w:val="21"/>
          <w:szCs w:val="21"/>
        </w:rPr>
        <w:t xml:space="preserve">Donations of real property or vehicles.</w:t>
      </w:r>
    </w:p>
    <w:p>
      <w:pPr>
        <w:pStyle w:val="ListParagraph"/>
        <w:numPr>
          <w:ilvl w:val="0"/>
          <w:numId w:val="2"/>
        </w:numPr>
        <w:spacing w:after="100" w:line="264"/>
      </w:pPr>
      <w:r>
        <w:rPr>
          <w:rFonts w:ascii="Calibri" w:cs="Calibri" w:eastAsia="Calibri" w:hAnsi="Calibri"/>
          <w:sz w:val="21"/>
          <w:szCs w:val="21"/>
        </w:rPr>
        <w:t xml:space="preserve">Donations with restrictions inconsistent with the Organization's mission.</w:t>
      </w:r>
    </w:p>
    <w:p>
      <w:pPr>
        <w:pStyle w:val="ListParagraph"/>
        <w:numPr>
          <w:ilvl w:val="0"/>
          <w:numId w:val="2"/>
        </w:numPr>
        <w:spacing w:after="100" w:line="264"/>
      </w:pPr>
      <w:r>
        <w:rPr>
          <w:rFonts w:ascii="Calibri" w:cs="Calibri" w:eastAsia="Calibri" w:hAnsi="Calibri"/>
          <w:sz w:val="21"/>
          <w:szCs w:val="21"/>
        </w:rPr>
        <w:t xml:space="preserve">Donations from sources that would create a conflict of interest under the Organization's Conflict of Interest Policy.</w:t>
      </w:r>
    </w:p>
    <w:p>
      <w:pPr>
        <w:pStyle w:val="Heading1"/>
        <w:pBdr>
          <w:bottom w:val="single" w:color="3C7A3F" w:sz="4" w:space="2"/>
        </w:pBdr>
        <w:spacing w:after="120" w:before="240"/>
      </w:pPr>
      <w:r>
        <w:rPr>
          <w:rFonts w:ascii="Calibri" w:cs="Calibri" w:eastAsia="Calibri" w:hAnsi="Calibri"/>
          <w:b/>
          <w:bCs/>
          <w:color w:val="1F5E2B"/>
          <w:sz w:val="26"/>
          <w:szCs w:val="26"/>
        </w:rPr>
        <w:t xml:space="preserve">Tax Status Disclosure — Critical Requirement</w:t>
      </w:r>
    </w:p>
    <w:p>
      <w:pPr>
        <w:spacing w:after="160" w:line="276"/>
        <w:jc w:val="left"/>
      </w:pPr>
      <w:r>
        <w:rPr>
          <w:rFonts w:ascii="Calibri" w:cs="Calibri" w:eastAsia="Calibri" w:hAnsi="Calibri"/>
          <w:b w:val="false"/>
          <w:bCs w:val="false"/>
          <w:i w:val="false"/>
          <w:iCs w:val="false"/>
          <w:sz w:val="21"/>
          <w:szCs w:val="21"/>
        </w:rPr>
        <w:t xml:space="preserve">Because AGHF Inc.'s Form 1023 application has not yet been filed or approved, every donation acknowledgment issued prior to receiving an IRS determination letter must include language substantially similar to the following:</w:t>
      </w:r>
    </w:p>
    <w:p>
      <w:pPr>
        <w:spacing w:after="160" w:line="276"/>
        <w:jc w:val="left"/>
      </w:pPr>
      <w:r>
        <w:rPr>
          <w:rFonts w:ascii="Calibri" w:cs="Calibri" w:eastAsia="Calibri" w:hAnsi="Calibri"/>
          <w:b w:val="false"/>
          <w:bCs w:val="false"/>
          <w:i w:val="false"/>
          <w:iCs w:val="false"/>
          <w:sz w:val="21"/>
          <w:szCs w:val="21"/>
        </w:rPr>
        <w:t xml:space="preserve">“AGHF Inc. d/b/a AgroHouse Foundation™ has applied, or intends to apply, for recognition of tax-exempt status under Section 501(c)(3) of the Internal Revenue Code. Such status has not yet been granted. If and when the IRS grants tax-exempt status, deductibility of contributions is generally retroactive to the Organization's date of incorporation (August 3, 2026). Donors should consult their own tax advisor regarding the deductibility of any contribution.”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Acknowledgment Procedures</w:t>
      </w:r>
    </w:p>
    <w:p>
      <w:pPr>
        <w:pStyle w:val="ListParagraph"/>
        <w:numPr>
          <w:ilvl w:val="0"/>
          <w:numId w:val="2"/>
        </w:numPr>
        <w:spacing w:after="100" w:line="264"/>
      </w:pPr>
      <w:r>
        <w:rPr>
          <w:rFonts w:ascii="Calibri" w:cs="Calibri" w:eastAsia="Calibri" w:hAnsi="Calibri"/>
          <w:sz w:val="21"/>
          <w:szCs w:val="21"/>
        </w:rPr>
        <w:t xml:space="preserve">All donations shall be acknowledged in writing using the Organization's Donation Receipt within a reasonable time of receipt.</w:t>
      </w:r>
    </w:p>
    <w:p>
      <w:pPr>
        <w:pStyle w:val="ListParagraph"/>
        <w:numPr>
          <w:ilvl w:val="0"/>
          <w:numId w:val="2"/>
        </w:numPr>
        <w:spacing w:after="100" w:line="264"/>
      </w:pPr>
      <w:r>
        <w:rPr>
          <w:rFonts w:ascii="Calibri" w:cs="Calibri" w:eastAsia="Calibri" w:hAnsi="Calibri"/>
          <w:sz w:val="21"/>
          <w:szCs w:val="21"/>
        </w:rPr>
        <w:t xml:space="preserve">In-kind donations shall be acknowledged with a description of the item(s) received; the Organization shall not assign a dollar value to in-kind gifts on the receipt (the donor is responsible for their own valuation).</w:t>
      </w:r>
    </w:p>
    <w:p>
      <w:pPr>
        <w:pStyle w:val="ListParagraph"/>
        <w:numPr>
          <w:ilvl w:val="0"/>
          <w:numId w:val="2"/>
        </w:numPr>
        <w:spacing w:after="100" w:line="264"/>
      </w:pPr>
      <w:r>
        <w:rPr>
          <w:rFonts w:ascii="Calibri" w:cs="Calibri" w:eastAsia="Calibri" w:hAnsi="Calibri"/>
          <w:sz w:val="21"/>
          <w:szCs w:val="21"/>
        </w:rPr>
        <w:t xml:space="preserve">Donations of $250 or more shall receive a written acknowledgment meeting IRS substantiation requirements, to be finalized once tax-exempt status is granted.</w:t>
      </w:r>
    </w:p>
    <w:p>
      <w:pPr>
        <w:pStyle w:val="Heading1"/>
        <w:pBdr>
          <w:bottom w:val="single" w:color="3C7A3F" w:sz="4" w:space="2"/>
        </w:pBdr>
        <w:spacing w:after="120" w:before="240"/>
      </w:pPr>
      <w:r>
        <w:rPr>
          <w:rFonts w:ascii="Calibri" w:cs="Calibri" w:eastAsia="Calibri" w:hAnsi="Calibri"/>
          <w:b/>
          <w:bCs/>
          <w:color w:val="1F5E2B"/>
          <w:sz w:val="26"/>
          <w:szCs w:val="26"/>
        </w:rPr>
        <w:t xml:space="preserve">Restricted vs. Unrestricted Donations</w:t>
      </w:r>
    </w:p>
    <w:p>
      <w:pPr>
        <w:spacing w:after="160" w:line="276"/>
        <w:jc w:val="left"/>
      </w:pPr>
      <w:r>
        <w:rPr>
          <w:rFonts w:ascii="Calibri" w:cs="Calibri" w:eastAsia="Calibri" w:hAnsi="Calibri"/>
          <w:b w:val="false"/>
          <w:bCs w:val="false"/>
          <w:i w:val="false"/>
          <w:iCs w:val="false"/>
          <w:sz w:val="21"/>
          <w:szCs w:val="21"/>
        </w:rPr>
        <w:t xml:space="preserve">Donors may designate a gift for a specific program (e.g., Program 1). Restricted donations shall be tracked separately and used only for the designated purpose. Undesignated donations are treated as unrestricted and available for general operating or program use at the Board's discretion.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Recordkeeping</w:t>
      </w:r>
    </w:p>
    <w:p>
      <w:pPr>
        <w:spacing w:after="160" w:line="276"/>
        <w:jc w:val="left"/>
      </w:pPr>
      <w:r>
        <w:rPr>
          <w:rFonts w:ascii="Calibri" w:cs="Calibri" w:eastAsia="Calibri" w:hAnsi="Calibri"/>
          <w:b w:val="false"/>
          <w:bCs w:val="false"/>
          <w:i w:val="false"/>
          <w:iCs w:val="false"/>
          <w:sz w:val="21"/>
          <w:szCs w:val="21"/>
        </w:rPr>
        <w:t xml:space="preserve">The Treasurer shall maintain a donation log recording donor name, date, amount or description, designation (if any), and acknowledgment date, consistent with the Financial Controls Policy.</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Adopted by the Board of Directors — Secretary Certification</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FUNDRAISING, GRANTS &amp; DONATIONS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2026-08-13T20:31:16.771Z</dcterms:created>
  <dcterms:modified xsi:type="dcterms:W3CDTF">2026-08-13T20:31:16.771Z</dcterms:modified>
</cp:coreProperties>
</file>

<file path=docProps/custom.xml><?xml version="1.0" encoding="utf-8"?>
<Properties xmlns="http://schemas.openxmlformats.org/officeDocument/2006/custom-properties" xmlns:vt="http://schemas.openxmlformats.org/officeDocument/2006/docPropsVTypes"/>
</file>