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60"/>
      </w:pPr>
      <w:r>
        <w:rPr>
          <w:rFonts w:ascii="Calibri" w:cs="Calibri" w:eastAsia="Calibri" w:hAnsi="Calibri"/>
          <w:b/>
          <w:bCs/>
          <w:color w:val="1F5E2B"/>
          <w:sz w:val="34"/>
          <w:szCs w:val="34"/>
        </w:rPr>
        <w:t xml:space="preserve">Fundraising Strategy Framework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AGHF Inc. d/b/a AgroHouse Foundation™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Purpose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This framework outlines AgroHouse Foundation™'s approach to diversified fundraising during its launch phase, supporting Program 1 and future program development.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Fundraising Pillars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Corporate &amp; Grant Partnerships — e.g., Publix Charities and similar community-focused funders.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Community &amp; Individual Giving — direct donations solicited once FDACS registration is active.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Faith &amp; Community Partner Fundraisers — coordinated with First Nazarene Church of Zephyrhills and similar partners.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In-Kind Support — donated goods, materials, and volunteer time that reduce direct program costs.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Near-Term Priorities (First 12 Months)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Complete FDACS registration to enable public solicitation of contributions.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Submit first grant/donation application to Publix Charities.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Host at least one community fundraiser in partnership with First Nazarene Church of Zephyrhills.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Distribute donor-facing program guides to build a base of informed, recurring supporters.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Messaging Guidelines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All fundraising materials must use AgroHouse™ and AgroHouse Foundation™ with the trademark symbol on every instance.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All materials must accurately disclose pending 501(c)(3) status per the Donation Acceptance Policy.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Messaging should emphasize the tagline: Stability • Structure • Growth • Community.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Metrics to Track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Total funds raised by source (grants, individual donations, fundraisers, in-kind).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Number of new donors and repeat donors.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Cost-to-raise ratio for fundraising events.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Progress toward Program 1 budget funding targets.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Governance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Executive Director shall report fundraising progress at each regular Board meeting. Any new fundraising initiative expected to cost more than $1,000 to execute shall be presented to the Board using the Fundraiser Proposal template prior to launch.</w:t>
      </w:r>
    </w:p>
    <w:sectPr>
      <w:headerReference w:type="default" r:id="rId7"/>
      <w:footerReference w:type="default" r:id="rId8"/>
      <w:pgSz w:w="12240" w:h="15840" w:orient="portrait"/>
      <w:pgMar w:top="135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E2B" w:sz="6" w:space="4"/>
      </w:pBd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© 2026 AGHF Inc. d/b/a AgroHouse Foundation™. All rights reserved.  •  EIN 42-4075687  •  </w:t>
    </w:r>
    <w:r>
      <w:rPr>
        <w:rFonts w:ascii="Calibri" w:cs="Calibri" w:eastAsia="Calibri" w:hAnsi="Calibri"/>
        <w:color w:val="555555"/>
        <w:sz w:val="14"/>
        <w:szCs w:val="14"/>
      </w:rPr>
      <w:t xml:space="preserve">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of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E2B" w:sz="12" w:space="4"/>
      </w:pBdr>
      <w:spacing w:after="40"/>
    </w:pPr>
    <w:r>
      <w:rPr>
        <w:rFonts w:ascii="Calibri" w:cs="Calibri" w:eastAsia="Calibri" w:hAnsi="Calibri"/>
        <w:b/>
        <w:bCs/>
        <w:color w:val="1F5E2B"/>
        <w:sz w:val="30"/>
        <w:szCs w:val="30"/>
      </w:rPr>
      <w:t xml:space="preserve">AgroHouse</w:t>
    </w:r>
    <w:r>
      <w:rPr>
        <w:rFonts w:ascii="Calibri" w:cs="Calibri" w:eastAsia="Calibri" w:hAnsi="Calibri"/>
        <w:b/>
        <w:bCs/>
        <w:color w:val="3C7A3F"/>
        <w:sz w:val="30"/>
        <w:szCs w:val="30"/>
      </w:rPr>
      <w:t xml:space="preserve"> Foundation™</w:t>
    </w:r>
  </w:p>
  <w:p>
    <w:pPr>
      <w:spacing w:after="120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AGHF Inc. d/b/a AgroHouse Foundation™  •  Stability • Structure • Growth • Community</w:t>
    </w:r>
  </w:p>
  <w:p>
    <w:pPr>
      <w:spacing w:after="200"/>
    </w:pPr>
    <w:r>
      <w:rPr>
        <w:rFonts w:ascii="Calibri" w:cs="Calibri" w:eastAsia="Calibri" w:hAnsi="Calibri"/>
        <w:b/>
        <w:bCs/>
        <w:color w:val="3C7A3F"/>
        <w:sz w:val="16"/>
        <w:szCs w:val="16"/>
      </w:rPr>
      <w:t xml:space="preserve">FUNDRAISING, GRANTS &amp; DONATIONS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2026-08-13T20:31:24.113Z</dcterms:created>
  <dcterms:modified xsi:type="dcterms:W3CDTF">2026-08-13T20:31:24.113Z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