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1809750"/>
                    </a:xfrm>
                    <a:prstGeom prst="rect">
                      <a:avLst/>
                    </a:prstGeom>
                  </pic:spPr>
                </pic:pic>
              </a:graphicData>
            </a:graphic>
          </wp:inline>
        </w:drawing>
      </w:r>
    </w:p>
    <w:p>
      <w:pPr>
        <w:spacing w:after="40" w:before="400"/>
        <w:jc w:val="center"/>
      </w:pPr>
      <w:r>
        <w:rPr>
          <w:rFonts w:ascii="Georgia" w:cs="Georgia" w:eastAsia="Georgia" w:hAnsi="Georgia"/>
          <w:b/>
          <w:bCs/>
          <w:color w:val="2E5B4C"/>
          <w:sz w:val="44"/>
          <w:szCs w:val="44"/>
        </w:rPr>
        <w:t xml:space="preserve">MARKETING &amp; PARTNERSHIP PORTFOLIO</w:t>
      </w:r>
    </w:p>
    <w:p>
      <w:pPr>
        <w:spacing w:after="260"/>
        <w:jc w:val="center"/>
      </w:pPr>
      <w:r>
        <w:rPr>
          <w:rFonts w:ascii="Georgia" w:cs="Georgia" w:eastAsia="Georgia" w:hAnsi="Georgia"/>
          <w:i/>
          <w:iCs/>
          <w:color w:val="333333"/>
          <w:sz w:val="20"/>
          <w:szCs w:val="20"/>
        </w:rPr>
        <w:t xml:space="preserve">Community Outreach Stabilization  •  Wesley Chapel, Zephyrhills, Dade City, Land O' Lakes &amp; East Pasco County, FL</w:t>
      </w:r>
    </w:p>
    <w:p>
      <w:pPr>
        <w:spacing w:after="20"/>
        <w:jc w:val="center"/>
      </w:pPr>
      <w:r>
        <w:rPr>
          <w:rFonts w:ascii="Georgia" w:cs="Georgia" w:eastAsia="Georgia" w:hAnsi="Georgia"/>
          <w:b/>
          <w:bCs/>
          <w:color w:val="1F3F34"/>
          <w:sz w:val="30"/>
          <w:szCs w:val="30"/>
        </w:rPr>
        <w:t xml:space="preserve">AGHF INC.</w:t>
      </w:r>
    </w:p>
    <w:p>
      <w:pPr>
        <w:spacing w:after="500"/>
        <w:jc w:val="center"/>
      </w:pPr>
      <w:r>
        <w:rPr>
          <w:rFonts w:ascii="Georgia" w:cs="Georgia" w:eastAsia="Georgia" w:hAnsi="Georgia"/>
          <w:i/>
          <w:iCs/>
          <w:color w:val="333333"/>
          <w:sz w:val="22"/>
          <w:szCs w:val="22"/>
        </w:rPr>
        <w:t xml:space="preserve">d/b/a AgroHouse Foundation</w:t>
      </w:r>
    </w:p>
    <w:p>
      <w:pPr>
        <w:spacing w:after="40" w:before="900"/>
        <w:jc w:val="center"/>
      </w:pPr>
      <w:r>
        <w:rPr>
          <w:rFonts w:ascii="Georgia" w:cs="Georgia" w:eastAsia="Georgia" w:hAnsi="Georgia"/>
          <w:color w:val="888888"/>
          <w:sz w:val="20"/>
          <w:szCs w:val="20"/>
        </w:rPr>
        <w:t xml:space="preserve">Prepared for community, donor &amp; sponsor conversations by:</w:t>
      </w:r>
    </w:p>
    <w:p>
      <w:pPr>
        <w:spacing w:after="20"/>
        <w:jc w:val="center"/>
      </w:pPr>
      <w:r>
        <w:rPr>
          <w:rFonts w:ascii="Georgia" w:cs="Georgia" w:eastAsia="Georgia" w:hAnsi="Georgia"/>
          <w:b/>
          <w:bCs/>
          <w:color w:val="2E5B4C"/>
          <w:sz w:val="26"/>
          <w:szCs w:val="26"/>
        </w:rPr>
        <w:t xml:space="preserve">Susan Slater</w:t>
      </w:r>
    </w:p>
    <w:p>
      <w:pPr>
        <w:jc w:val="center"/>
      </w:pPr>
      <w:r>
        <w:rPr>
          <w:rFonts w:ascii="Georgia" w:cs="Georgia" w:eastAsia="Georgia" w:hAnsi="Georgia"/>
          <w:color w:val="333333"/>
          <w:sz w:val="20"/>
          <w:szCs w:val="20"/>
        </w:rPr>
        <w:t xml:space="preserve">Marketing &amp; Fundraising Manager  |  Treasurer &amp; Director</w:t>
      </w:r>
    </w:p>
    <w:p>
      <w:pPr>
        <w:sectPr>
          <w:pgSz w:w="12240" w:h="15840" w:orient="portrait"/>
          <w:pgMar w:top="1080" w:right="1080" w:bottom="1080" w:left="1080" w:header="708" w:footer="708" w:gutter="0"/>
          <w:pgNumType/>
          <w:docGrid w:linePitch="360"/>
        </w:sectPr>
      </w:pPr>
    </w:p>
    <w:p>
      <w:pPr>
        <w:spacing w:after="80"/>
      </w:pPr>
      <w:r>
        <w:rPr>
          <w:rFonts w:ascii="Georgia" w:cs="Georgia" w:eastAsia="Georgia" w:hAnsi="Georgia"/>
          <w:b/>
          <w:bCs/>
          <w:color w:val="C9A227"/>
          <w:spacing w:val="20"/>
          <w:sz w:val="16"/>
          <w:szCs w:val="16"/>
        </w:rPr>
        <w:t xml:space="preserve">WHO WE ARE</w:t>
      </w:r>
    </w:p>
    <w:p>
      <w:pPr>
        <w:pBdr>
          <w:bottom w:val="single" w:color="2E5B4C" w:sz="8" w:space="4"/>
        </w:pBdr>
        <w:spacing w:after="160" w:before="260"/>
      </w:pPr>
      <w:r>
        <w:rPr>
          <w:rFonts w:ascii="Georgia" w:cs="Georgia" w:eastAsia="Georgia" w:hAnsi="Georgia"/>
          <w:b/>
          <w:bCs/>
          <w:color w:val="2E5B4C"/>
          <w:sz w:val="30"/>
          <w:szCs w:val="30"/>
        </w:rPr>
        <w:t xml:space="preserve">Mission &amp; Vision</w:t>
      </w:r>
    </w:p>
    <w:p>
      <w:pPr>
        <w:spacing w:after="160" w:line="288"/>
        <w:jc w:val="both"/>
      </w:pPr>
      <w:r>
        <w:rPr>
          <w:rFonts w:ascii="Georgia" w:cs="Georgia" w:eastAsia="Georgia" w:hAnsi="Georgia"/>
          <w:b w:val="false"/>
          <w:bCs w:val="false"/>
          <w:color w:val="333333"/>
          <w:sz w:val="22"/>
          <w:szCs w:val="22"/>
        </w:rPr>
        <w:t xml:space="preserve">AgroHouse Foundation exists to strengthen communities through outreach stabilization, food security, sustainable agriculture, workforce development opportunities, and future vocational housing systems that promote long-term stability, self-sufficiency, and dignity.</w:t>
      </w:r>
    </w:p>
    <w:p>
      <w:pPr>
        <w:spacing w:after="160" w:before="120"/>
      </w:pPr>
      <w:r>
        <w:rPr>
          <w:rFonts w:ascii="Georgia" w:cs="Georgia" w:eastAsia="Georgia" w:hAnsi="Georgia"/>
          <w:b/>
          <w:bCs/>
          <w:color w:val="1F3F34"/>
          <w:sz w:val="22"/>
          <w:szCs w:val="22"/>
        </w:rPr>
        <w:t xml:space="preserve">Vision: </w:t>
      </w:r>
      <w:r>
        <w:rPr>
          <w:rFonts w:ascii="Georgia" w:cs="Georgia" w:eastAsia="Georgia" w:hAnsi="Georgia"/>
          <w:color w:val="333333"/>
          <w:sz w:val="22"/>
          <w:szCs w:val="22"/>
        </w:rPr>
        <w:t xml:space="preserve">A sustainable ecosystem where outreach, agriculture, workforce development, and vocational opportunities work together to strengthen individuals, families, and communities.</w:t>
      </w:r>
    </w:p>
    <w:p>
      <w:pPr>
        <w:pBdr>
          <w:bottom w:val="single" w:color="2E5B4C" w:sz="8" w:space="4"/>
        </w:pBdr>
        <w:spacing w:after="160" w:before="260"/>
      </w:pPr>
      <w:r>
        <w:rPr>
          <w:rFonts w:ascii="Georgia" w:cs="Georgia" w:eastAsia="Georgia" w:hAnsi="Georgia"/>
          <w:b/>
          <w:bCs/>
          <w:color w:val="2E5B4C"/>
          <w:sz w:val="30"/>
          <w:szCs w:val="30"/>
        </w:rPr>
        <w:t xml:space="preserve">Core Values</w:t>
      </w:r>
    </w:p>
    <w:p>
      <w:pPr>
        <w:pStyle w:val="ListParagraph"/>
        <w:numPr>
          <w:ilvl w:val="0"/>
          <w:numId w:val="1"/>
        </w:numPr>
        <w:spacing w:after="100"/>
        <w:ind w:left="380"/>
      </w:pPr>
      <w:r>
        <w:rPr>
          <w:rFonts w:ascii="Georgia" w:cs="Georgia" w:eastAsia="Georgia" w:hAnsi="Georgia"/>
          <w:color w:val="333333"/>
          <w:sz w:val="22"/>
          <w:szCs w:val="22"/>
        </w:rPr>
        <w:t xml:space="preserve">Stability — Creating reliable systems that communities can depend upon.</w:t>
      </w:r>
    </w:p>
    <w:p>
      <w:pPr>
        <w:pStyle w:val="ListParagraph"/>
        <w:numPr>
          <w:ilvl w:val="0"/>
          <w:numId w:val="1"/>
        </w:numPr>
        <w:spacing w:after="100"/>
        <w:ind w:left="380"/>
      </w:pPr>
      <w:r>
        <w:rPr>
          <w:rFonts w:ascii="Georgia" w:cs="Georgia" w:eastAsia="Georgia" w:hAnsi="Georgia"/>
          <w:color w:val="333333"/>
          <w:sz w:val="22"/>
          <w:szCs w:val="22"/>
        </w:rPr>
        <w:t xml:space="preserve">Sustainability — Building long-term solutions rather than temporary responses.</w:t>
      </w:r>
    </w:p>
    <w:p>
      <w:pPr>
        <w:pStyle w:val="ListParagraph"/>
        <w:numPr>
          <w:ilvl w:val="0"/>
          <w:numId w:val="1"/>
        </w:numPr>
        <w:spacing w:after="100"/>
        <w:ind w:left="380"/>
      </w:pPr>
      <w:r>
        <w:rPr>
          <w:rFonts w:ascii="Georgia" w:cs="Georgia" w:eastAsia="Georgia" w:hAnsi="Georgia"/>
          <w:color w:val="333333"/>
          <w:sz w:val="22"/>
          <w:szCs w:val="22"/>
        </w:rPr>
        <w:t xml:space="preserve">Stewardship — Managing resources responsibly, ethically, and transparently.</w:t>
      </w:r>
    </w:p>
    <w:p>
      <w:pPr>
        <w:pStyle w:val="ListParagraph"/>
        <w:numPr>
          <w:ilvl w:val="0"/>
          <w:numId w:val="1"/>
        </w:numPr>
        <w:spacing w:after="100"/>
        <w:ind w:left="380"/>
      </w:pPr>
      <w:r>
        <w:rPr>
          <w:rFonts w:ascii="Georgia" w:cs="Georgia" w:eastAsia="Georgia" w:hAnsi="Georgia"/>
          <w:color w:val="333333"/>
          <w:sz w:val="22"/>
          <w:szCs w:val="22"/>
        </w:rPr>
        <w:t xml:space="preserve">Community — Working alongside existing organizations and community partners rather than replacing them.</w:t>
      </w:r>
    </w:p>
    <w:p>
      <w:pPr>
        <w:pStyle w:val="ListParagraph"/>
        <w:numPr>
          <w:ilvl w:val="0"/>
          <w:numId w:val="1"/>
        </w:numPr>
        <w:spacing w:after="100"/>
        <w:ind w:left="380"/>
      </w:pPr>
      <w:r>
        <w:rPr>
          <w:rFonts w:ascii="Georgia" w:cs="Georgia" w:eastAsia="Georgia" w:hAnsi="Georgia"/>
          <w:color w:val="333333"/>
          <w:sz w:val="22"/>
          <w:szCs w:val="22"/>
        </w:rPr>
        <w:t xml:space="preserve">Opportunity — Creating pathways for growth, education, employment, and self-sufficiency.</w:t>
      </w:r>
    </w:p>
    <w:p>
      <w:pPr>
        <w:pStyle w:val="ListParagraph"/>
        <w:numPr>
          <w:ilvl w:val="0"/>
          <w:numId w:val="1"/>
        </w:numPr>
        <w:spacing w:after="100"/>
        <w:ind w:left="380"/>
      </w:pPr>
      <w:r>
        <w:rPr>
          <w:rFonts w:ascii="Georgia" w:cs="Georgia" w:eastAsia="Georgia" w:hAnsi="Georgia"/>
          <w:color w:val="333333"/>
          <w:sz w:val="22"/>
          <w:szCs w:val="22"/>
        </w:rPr>
        <w:t xml:space="preserve">Dignity — Serving individuals with respect while preserving personal choice, independence, and self-worth.</w:t>
      </w:r>
    </w:p>
    <w:p>
      <w:pPr>
        <w:pBdr>
          <w:bottom w:val="single" w:color="2E5B4C" w:sz="8" w:space="4"/>
        </w:pBdr>
        <w:spacing w:after="160" w:before="260"/>
      </w:pPr>
      <w:r>
        <w:rPr>
          <w:rFonts w:ascii="Georgia" w:cs="Georgia" w:eastAsia="Georgia" w:hAnsi="Georgia"/>
          <w:b/>
          <w:bCs/>
          <w:color w:val="2E5B4C"/>
          <w:sz w:val="30"/>
          <w:szCs w:val="30"/>
        </w:rPr>
        <w:t xml:space="preserve">Where We Stand</w:t>
      </w:r>
    </w:p>
    <w:p>
      <w:pPr>
        <w:spacing w:after="160" w:line="288"/>
        <w:jc w:val="both"/>
      </w:pPr>
      <w:r>
        <w:rPr>
          <w:rFonts w:ascii="Georgia" w:cs="Georgia" w:eastAsia="Georgia" w:hAnsi="Georgia"/>
          <w:color w:val="333333"/>
          <w:sz w:val="22"/>
          <w:szCs w:val="22"/>
        </w:rPr>
        <w:t xml:space="preserve">AGHF Inc. is a Florida nonprofit corporation, formed and operating under a debt-free, grant- and donation-supported model. The organization is currently pursuing federal 501(c)(3) tax-exempt status; until that determination is granted, charitable contributions to AgroHouse Foundation may not yet be tax-deductible. Program 1, our Community Outreach Stabilization Program, is our active operating priority.</w:t>
      </w: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80"/>
      </w:pPr>
      <w:r>
        <w:rPr>
          <w:rFonts w:ascii="Georgia" w:cs="Georgia" w:eastAsia="Georgia" w:hAnsi="Georgia"/>
          <w:b/>
          <w:bCs/>
          <w:color w:val="C9A227"/>
          <w:spacing w:val="20"/>
          <w:sz w:val="16"/>
          <w:szCs w:val="16"/>
        </w:rPr>
        <w:t xml:space="preserve">WHAT WE DO</w:t>
      </w:r>
    </w:p>
    <w:p>
      <w:pPr>
        <w:pBdr>
          <w:bottom w:val="single" w:color="2E5B4C" w:sz="8" w:space="4"/>
        </w:pBdr>
        <w:spacing w:after="160" w:before="260"/>
      </w:pPr>
      <w:r>
        <w:rPr>
          <w:rFonts w:ascii="Georgia" w:cs="Georgia" w:eastAsia="Georgia" w:hAnsi="Georgia"/>
          <w:b/>
          <w:bCs/>
          <w:color w:val="2E5B4C"/>
          <w:sz w:val="30"/>
          <w:szCs w:val="30"/>
        </w:rPr>
        <w:t xml:space="preserve">Program 1: Community Outreach Stabilization</w:t>
      </w:r>
    </w:p>
    <w:p>
      <w:pPr>
        <w:spacing w:after="160" w:line="288"/>
        <w:jc w:val="both"/>
      </w:pPr>
      <w:r>
        <w:rPr>
          <w:rFonts w:ascii="Georgia" w:cs="Georgia" w:eastAsia="Georgia" w:hAnsi="Georgia"/>
          <w:color w:val="333333"/>
          <w:sz w:val="22"/>
          <w:szCs w:val="22"/>
        </w:rPr>
        <w:t xml:space="preserve">Program 1 strengthens existing outreach efforts through the procurement and distribution of meals, hygiene resources, hydration resources, logistical support, storage solutions, and community support infrastructure. The program is currently in active development in the Wesley Chapel, Zephyrhills, Dade City, Land O' Lakes, and East Pasco County areas of Florida.</w:t>
      </w:r>
    </w:p>
    <w:tbl>
      <w:tblPr>
        <w:tblW w:type="dxa" w:w="9500"/>
        <w:tblBorders>
          <w:top w:val="none"/>
          <w:left w:val="none"/>
          <w:bottom w:val="none"/>
          <w:right w:val="none"/>
          <w:insideH w:val="none"/>
          <w:insideV w:val="none"/>
        </w:tblBorders>
      </w:tblPr>
      <w:tblGrid>
        <w:gridCol w:w="4750"/>
        <w:gridCol w:w="4750"/>
      </w:tblGrid>
      <w:tr>
        <w:tc>
          <w:tcPr>
            <w:tcW w:type="dxa" w:w="4750"/>
            <w:shd w:fill="F2F0E8" w:val="clear"/>
            <w:tcMar>
              <w:top w:type="dxa" w:w="160"/>
              <w:left w:type="dxa" w:w="200"/>
              <w:bottom w:type="dxa" w:w="160"/>
              <w:right w:type="dxa" w:w="200"/>
            </w:tcMar>
          </w:tcPr>
          <w:p>
            <w:pPr>
              <w:spacing w:after="80"/>
            </w:pPr>
            <w:r>
              <w:rPr>
                <w:rFonts w:ascii="Georgia" w:cs="Georgia" w:eastAsia="Georgia" w:hAnsi="Georgia"/>
                <w:b/>
                <w:bCs/>
                <w:color w:val="1F3F34"/>
                <w:sz w:val="20"/>
                <w:szCs w:val="20"/>
              </w:rPr>
              <w:t xml:space="preserve">AgroHouse Foundation Does:</w:t>
            </w:r>
          </w:p>
          <w:p>
            <w:pPr>
              <w:pStyle w:val="ListParagraph"/>
              <w:numPr>
                <w:ilvl w:val="0"/>
                <w:numId w:val="1"/>
              </w:numPr>
              <w:spacing w:after="100"/>
              <w:ind w:left="380"/>
            </w:pPr>
            <w:r>
              <w:rPr>
                <w:rFonts w:ascii="Georgia" w:cs="Georgia" w:eastAsia="Georgia" w:hAnsi="Georgia"/>
                <w:color w:val="333333"/>
                <w:sz w:val="19"/>
                <w:szCs w:val="19"/>
              </w:rPr>
              <w:t xml:space="preserve">Provide stabilization support</w:t>
            </w:r>
          </w:p>
          <w:p>
            <w:pPr>
              <w:pStyle w:val="ListParagraph"/>
              <w:numPr>
                <w:ilvl w:val="0"/>
                <w:numId w:val="1"/>
              </w:numPr>
              <w:spacing w:after="100"/>
              <w:ind w:left="380"/>
            </w:pPr>
            <w:r>
              <w:rPr>
                <w:rFonts w:ascii="Georgia" w:cs="Georgia" w:eastAsia="Georgia" w:hAnsi="Georgia"/>
                <w:color w:val="333333"/>
                <w:sz w:val="19"/>
                <w:szCs w:val="19"/>
              </w:rPr>
              <w:t xml:space="preserve">Procure resources</w:t>
            </w:r>
          </w:p>
          <w:p>
            <w:pPr>
              <w:pStyle w:val="ListParagraph"/>
              <w:numPr>
                <w:ilvl w:val="0"/>
                <w:numId w:val="1"/>
              </w:numPr>
              <w:spacing w:after="100"/>
              <w:ind w:left="380"/>
            </w:pPr>
            <w:r>
              <w:rPr>
                <w:rFonts w:ascii="Georgia" w:cs="Georgia" w:eastAsia="Georgia" w:hAnsi="Georgia"/>
                <w:color w:val="333333"/>
                <w:sz w:val="19"/>
                <w:szCs w:val="19"/>
              </w:rPr>
              <w:t xml:space="preserve">Build infrastructure</w:t>
            </w:r>
          </w:p>
          <w:p>
            <w:pPr>
              <w:pStyle w:val="ListParagraph"/>
              <w:numPr>
                <w:ilvl w:val="0"/>
                <w:numId w:val="1"/>
              </w:numPr>
              <w:spacing w:after="100"/>
              <w:ind w:left="380"/>
            </w:pPr>
            <w:r>
              <w:rPr>
                <w:rFonts w:ascii="Georgia" w:cs="Georgia" w:eastAsia="Georgia" w:hAnsi="Georgia"/>
                <w:color w:val="333333"/>
                <w:sz w:val="19"/>
                <w:szCs w:val="19"/>
              </w:rPr>
              <w:t xml:space="preserve">Coordinate logistics</w:t>
            </w:r>
          </w:p>
          <w:p>
            <w:pPr>
              <w:pStyle w:val="ListParagraph"/>
              <w:numPr>
                <w:ilvl w:val="0"/>
                <w:numId w:val="1"/>
              </w:numPr>
              <w:spacing w:after="100"/>
              <w:ind w:left="380"/>
            </w:pPr>
            <w:r>
              <w:rPr>
                <w:rFonts w:ascii="Georgia" w:cs="Georgia" w:eastAsia="Georgia" w:hAnsi="Georgia"/>
                <w:color w:val="333333"/>
                <w:sz w:val="19"/>
                <w:szCs w:val="19"/>
              </w:rPr>
              <w:t xml:space="preserve">Develop future sustainability systems</w:t>
            </w:r>
          </w:p>
        </w:tc>
        <w:tc>
          <w:tcPr>
            <w:tcW w:type="dxa" w:w="4750"/>
            <w:shd w:fill="FBF7EC" w:val="clear"/>
            <w:tcMar>
              <w:top w:type="dxa" w:w="160"/>
              <w:left w:type="dxa" w:w="200"/>
              <w:bottom w:type="dxa" w:w="160"/>
              <w:right w:type="dxa" w:w="200"/>
            </w:tcMar>
          </w:tcPr>
          <w:p>
            <w:pPr>
              <w:spacing w:after="80"/>
            </w:pPr>
            <w:r>
              <w:rPr>
                <w:rFonts w:ascii="Georgia" w:cs="Georgia" w:eastAsia="Georgia" w:hAnsi="Georgia"/>
                <w:b/>
                <w:bCs/>
                <w:color w:val="1F3F34"/>
                <w:sz w:val="20"/>
                <w:szCs w:val="20"/>
              </w:rPr>
              <w:t xml:space="preserve">AgroHouse Foundation Does Not:</w:t>
            </w:r>
          </w:p>
          <w:p>
            <w:pPr>
              <w:pStyle w:val="ListParagraph"/>
              <w:numPr>
                <w:ilvl w:val="0"/>
                <w:numId w:val="1"/>
              </w:numPr>
              <w:spacing w:after="100"/>
              <w:ind w:left="380"/>
            </w:pPr>
            <w:r>
              <w:rPr>
                <w:rFonts w:ascii="Georgia" w:cs="Georgia" w:eastAsia="Georgia" w:hAnsi="Georgia"/>
                <w:color w:val="333333"/>
                <w:sz w:val="19"/>
                <w:szCs w:val="19"/>
              </w:rPr>
              <w:t xml:space="preserve">Operate church outreach activities</w:t>
            </w:r>
          </w:p>
          <w:p>
            <w:pPr>
              <w:pStyle w:val="ListParagraph"/>
              <w:numPr>
                <w:ilvl w:val="0"/>
                <w:numId w:val="1"/>
              </w:numPr>
              <w:spacing w:after="100"/>
              <w:ind w:left="380"/>
            </w:pPr>
            <w:r>
              <w:rPr>
                <w:rFonts w:ascii="Georgia" w:cs="Georgia" w:eastAsia="Georgia" w:hAnsi="Georgia"/>
                <w:color w:val="333333"/>
                <w:sz w:val="19"/>
                <w:szCs w:val="19"/>
              </w:rPr>
              <w:t xml:space="preserve">Supervise church volunteers</w:t>
            </w:r>
          </w:p>
          <w:p>
            <w:pPr>
              <w:pStyle w:val="ListParagraph"/>
              <w:numPr>
                <w:ilvl w:val="0"/>
                <w:numId w:val="1"/>
              </w:numPr>
              <w:spacing w:after="100"/>
              <w:ind w:left="380"/>
            </w:pPr>
            <w:r>
              <w:rPr>
                <w:rFonts w:ascii="Georgia" w:cs="Georgia" w:eastAsia="Georgia" w:hAnsi="Georgia"/>
                <w:color w:val="333333"/>
                <w:sz w:val="19"/>
                <w:szCs w:val="19"/>
              </w:rPr>
              <w:t xml:space="preserve">Manage church donations</w:t>
            </w:r>
          </w:p>
          <w:p>
            <w:pPr>
              <w:pStyle w:val="ListParagraph"/>
              <w:numPr>
                <w:ilvl w:val="0"/>
                <w:numId w:val="1"/>
              </w:numPr>
              <w:spacing w:after="100"/>
              <w:ind w:left="380"/>
            </w:pPr>
            <w:r>
              <w:rPr>
                <w:rFonts w:ascii="Georgia" w:cs="Georgia" w:eastAsia="Georgia" w:hAnsi="Georgia"/>
                <w:color w:val="333333"/>
                <w:sz w:val="19"/>
                <w:szCs w:val="19"/>
              </w:rPr>
              <w:t xml:space="preserve">Control church programming</w:t>
            </w:r>
          </w:p>
        </w:tc>
      </w:tr>
    </w:tbl>
    <w:p>
      <w:pPr>
        <w:spacing w:before="260"/>
      </w:pPr>
    </w:p>
    <w:p>
      <w:pPr>
        <w:pBdr>
          <w:bottom w:val="single" w:color="2E5B4C" w:sz="8" w:space="4"/>
        </w:pBdr>
        <w:spacing w:after="160" w:before="260"/>
      </w:pPr>
      <w:r>
        <w:rPr>
          <w:rFonts w:ascii="Georgia" w:cs="Georgia" w:eastAsia="Georgia" w:hAnsi="Georgia"/>
          <w:b/>
          <w:bCs/>
          <w:color w:val="2E5B4C"/>
          <w:sz w:val="30"/>
          <w:szCs w:val="30"/>
        </w:rPr>
        <w:t xml:space="preserve">Community Partnership in Action</w:t>
      </w:r>
    </w:p>
    <w:p>
      <w:pPr>
        <w:spacing w:after="160" w:line="288"/>
        <w:jc w:val="both"/>
      </w:pPr>
      <w:r>
        <w:rPr>
          <w:rFonts w:ascii="Georgia" w:cs="Georgia" w:eastAsia="Georgia" w:hAnsi="Georgia"/>
          <w:color w:val="333333"/>
          <w:sz w:val="22"/>
          <w:szCs w:val="22"/>
        </w:rPr>
        <w:t xml:space="preserve">AgroHouse Foundation supports the outreach operated by First Nazarene Church of Zephyrhills through resource procurement, meal support, hydration stations, and hygiene blessing bags. AgroHouse Foundation supports and strengthens this outreach but does not control, manage, supervise, or direct the church's programming or volunteers.</w:t>
      </w:r>
    </w:p>
    <w:p>
      <w:pPr>
        <w:spacing w:after="160" w:line="288"/>
        <w:jc w:val="both"/>
      </w:pPr>
      <w:r>
        <w:rPr>
          <w:rFonts w:ascii="Georgia" w:cs="Georgia" w:eastAsia="Georgia" w:hAnsi="Georgia"/>
          <w:i/>
          <w:iCs/>
          <w:color w:val="333333"/>
          <w:sz w:val="20"/>
          <w:szCs w:val="20"/>
        </w:rPr>
        <w:t xml:space="preserve">Current planning estimates, based on direct observation by AGHF leadership, support approximately 125 individuals reached per week through this partnership; figures are reviewed and updated as outreach evolves.</w:t>
      </w:r>
    </w:p>
    <w:p>
      <w:pPr>
        <w:sectPr>
          <w:headerReference w:type="default" r:id="rId9"/>
          <w:footerReference w:type="default" r:id="rId10"/>
          <w:pgSz w:w="12240" w:h="15840" w:orient="portrait"/>
          <w:pgMar w:top="1080" w:right="1080" w:bottom="1080" w:left="1080" w:header="708" w:footer="708" w:gutter="0"/>
          <w:pgNumType/>
          <w:docGrid w:linePitch="360"/>
        </w:sectPr>
      </w:pPr>
    </w:p>
    <w:p>
      <w:pPr>
        <w:spacing w:after="80"/>
      </w:pPr>
      <w:r>
        <w:rPr>
          <w:rFonts w:ascii="Georgia" w:cs="Georgia" w:eastAsia="Georgia" w:hAnsi="Georgia"/>
          <w:b/>
          <w:bCs/>
          <w:color w:val="C9A227"/>
          <w:spacing w:val="20"/>
          <w:sz w:val="16"/>
          <w:szCs w:val="16"/>
        </w:rPr>
        <w:t xml:space="preserve">GROWING TOGETHER</w:t>
      </w:r>
    </w:p>
    <w:p>
      <w:pPr>
        <w:pBdr>
          <w:bottom w:val="single" w:color="2E5B4C" w:sz="8" w:space="4"/>
        </w:pBdr>
        <w:spacing w:after="160" w:before="260"/>
      </w:pPr>
      <w:r>
        <w:rPr>
          <w:rFonts w:ascii="Georgia" w:cs="Georgia" w:eastAsia="Georgia" w:hAnsi="Georgia"/>
          <w:b/>
          <w:bCs/>
          <w:color w:val="2E5B4C"/>
          <w:sz w:val="30"/>
          <w:szCs w:val="30"/>
        </w:rPr>
        <w:t xml:space="preserve">Program 1 at a Glance</w:t>
      </w:r>
    </w:p>
    <w:tbl>
      <w:tblPr>
        <w:tblW w:type="dxa" w:w="9500"/>
        <w:tblBorders>
          <w:top w:val="none"/>
          <w:left w:val="none"/>
          <w:bottom w:val="none"/>
          <w:right w:val="none"/>
          <w:insideH w:val="none"/>
          <w:insideV w:val="none"/>
        </w:tblBorders>
      </w:tblPr>
      <w:tblGrid>
        <w:gridCol w:w="3166"/>
        <w:gridCol w:w="3166"/>
        <w:gridCol w:w="3167"/>
      </w:tblGrid>
      <w:tr>
        <w:tc>
          <w:tcPr>
            <w:tcW w:type="dxa" w:w="3166"/>
            <w:tcMar>
              <w:left w:type="dxa" w:w="80"/>
              <w:right w:type="dxa" w:w="80"/>
            </w:tcMar>
          </w:tcPr>
          <w:tbl>
            <w:tblPr>
              <w:tblW w:type="pct" w:w="100%"/>
              <w:tblBorders>
                <w:top w:val="none"/>
                <w:left w:val="none"/>
                <w:bottom w:val="none"/>
                <w:right w:val="none"/>
                <w:insideH w:val="none"/>
                <w:insideV w:val="none"/>
              </w:tblBorders>
            </w:tblPr>
            <w:tblGrid>
              <w:gridCol w:w="100"/>
            </w:tblGrid>
            <w:tr>
              <w:tc>
                <w:tcPr>
                  <w:tcW w:type="pct" w:w="100%"/>
                  <w:shd w:fill="F2F0E8" w:val="clear"/>
                  <w:tcMar>
                    <w:top w:type="dxa" w:w="200"/>
                    <w:left w:type="dxa" w:w="200"/>
                    <w:bottom w:type="dxa" w:w="200"/>
                    <w:right w:type="dxa" w:w="200"/>
                  </w:tcMar>
                </w:tcPr>
                <w:p>
                  <w:pPr>
                    <w:spacing w:after="40"/>
                    <w:jc w:val="center"/>
                  </w:pPr>
                  <w:r>
                    <w:rPr>
                      <w:rFonts w:ascii="Georgia" w:cs="Georgia" w:eastAsia="Georgia" w:hAnsi="Georgia"/>
                      <w:b/>
                      <w:bCs/>
                      <w:color w:val="2E5B4C"/>
                      <w:sz w:val="44"/>
                      <w:szCs w:val="44"/>
                    </w:rPr>
                    <w:t xml:space="preserve">~125</w:t>
                  </w:r>
                </w:p>
                <w:p>
                  <w:pPr>
                    <w:jc w:val="center"/>
                  </w:pPr>
                  <w:r>
                    <w:rPr>
                      <w:rFonts w:ascii="Georgia" w:cs="Georgia" w:eastAsia="Georgia" w:hAnsi="Georgia"/>
                      <w:color w:val="333333"/>
                      <w:sz w:val="18"/>
                      <w:szCs w:val="18"/>
                    </w:rPr>
                    <w:t xml:space="preserve">Individuals reached weekly (current estimate)</w:t>
                  </w:r>
                </w:p>
              </w:tc>
            </w:tr>
          </w:tbl>
          <w:p/>
        </w:tc>
        <w:tc>
          <w:tcPr>
            <w:tcW w:type="dxa" w:w="3166"/>
            <w:tcMar>
              <w:left w:type="dxa" w:w="80"/>
              <w:right w:type="dxa" w:w="80"/>
            </w:tcMar>
          </w:tcPr>
          <w:tbl>
            <w:tblPr>
              <w:tblW w:type="pct" w:w="100%"/>
              <w:tblBorders>
                <w:top w:val="none"/>
                <w:left w:val="none"/>
                <w:bottom w:val="none"/>
                <w:right w:val="none"/>
                <w:insideH w:val="none"/>
                <w:insideV w:val="none"/>
              </w:tblBorders>
            </w:tblPr>
            <w:tblGrid>
              <w:gridCol w:w="100"/>
            </w:tblGrid>
            <w:tr>
              <w:tc>
                <w:tcPr>
                  <w:tcW w:type="pct" w:w="100%"/>
                  <w:shd w:fill="F2F0E8" w:val="clear"/>
                  <w:tcMar>
                    <w:top w:type="dxa" w:w="200"/>
                    <w:left w:type="dxa" w:w="200"/>
                    <w:bottom w:type="dxa" w:w="200"/>
                    <w:right w:type="dxa" w:w="200"/>
                  </w:tcMar>
                </w:tcPr>
                <w:p>
                  <w:pPr>
                    <w:spacing w:after="40"/>
                    <w:jc w:val="center"/>
                  </w:pPr>
                  <w:r>
                    <w:rPr>
                      <w:rFonts w:ascii="Georgia" w:cs="Georgia" w:eastAsia="Georgia" w:hAnsi="Georgia"/>
                      <w:b/>
                      <w:bCs/>
                      <w:color w:val="2E5B4C"/>
                      <w:sz w:val="44"/>
                      <w:szCs w:val="44"/>
                    </w:rPr>
                    <w:t xml:space="preserve">3</w:t>
                  </w:r>
                </w:p>
                <w:p>
                  <w:pPr>
                    <w:jc w:val="center"/>
                  </w:pPr>
                  <w:r>
                    <w:rPr>
                      <w:rFonts w:ascii="Georgia" w:cs="Georgia" w:eastAsia="Georgia" w:hAnsi="Georgia"/>
                      <w:color w:val="333333"/>
                      <w:sz w:val="18"/>
                      <w:szCs w:val="18"/>
                    </w:rPr>
                    <w:t xml:space="preserve">Outreach days per week — Mon / Wed / Fri</w:t>
                  </w:r>
                </w:p>
              </w:tc>
            </w:tr>
          </w:tbl>
          <w:p/>
        </w:tc>
        <w:tc>
          <w:tcPr>
            <w:tcW w:type="dxa" w:w="3167"/>
            <w:tcMar>
              <w:left w:type="dxa" w:w="80"/>
              <w:right w:type="dxa" w:w="80"/>
            </w:tcMar>
          </w:tcPr>
          <w:tbl>
            <w:tblPr>
              <w:tblW w:type="pct" w:w="100%"/>
              <w:tblBorders>
                <w:top w:val="none"/>
                <w:left w:val="none"/>
                <w:bottom w:val="none"/>
                <w:right w:val="none"/>
                <w:insideH w:val="none"/>
                <w:insideV w:val="none"/>
              </w:tblBorders>
            </w:tblPr>
            <w:tblGrid>
              <w:gridCol w:w="100"/>
            </w:tblGrid>
            <w:tr>
              <w:tc>
                <w:tcPr>
                  <w:tcW w:type="pct" w:w="100%"/>
                  <w:shd w:fill="F2F0E8" w:val="clear"/>
                  <w:tcMar>
                    <w:top w:type="dxa" w:w="200"/>
                    <w:left w:type="dxa" w:w="200"/>
                    <w:bottom w:type="dxa" w:w="200"/>
                    <w:right w:type="dxa" w:w="200"/>
                  </w:tcMar>
                </w:tcPr>
                <w:p>
                  <w:pPr>
                    <w:spacing w:after="40"/>
                    <w:jc w:val="center"/>
                  </w:pPr>
                  <w:r>
                    <w:rPr>
                      <w:rFonts w:ascii="Georgia" w:cs="Georgia" w:eastAsia="Georgia" w:hAnsi="Georgia"/>
                      <w:b/>
                      <w:bCs/>
                      <w:color w:val="2E5B4C"/>
                      <w:sz w:val="44"/>
                      <w:szCs w:val="44"/>
                    </w:rPr>
                    <w:t xml:space="preserve">5</w:t>
                  </w:r>
                </w:p>
                <w:p>
                  <w:pPr>
                    <w:jc w:val="center"/>
                  </w:pPr>
                  <w:r>
                    <w:rPr>
                      <w:rFonts w:ascii="Georgia" w:cs="Georgia" w:eastAsia="Georgia" w:hAnsi="Georgia"/>
                      <w:color w:val="333333"/>
                      <w:sz w:val="18"/>
                      <w:szCs w:val="18"/>
                    </w:rPr>
                    <w:t xml:space="preserve">Focus counties &amp; communities served</w:t>
                  </w:r>
                </w:p>
              </w:tc>
            </w:tr>
          </w:tbl>
          <w:p/>
        </w:tc>
      </w:tr>
    </w:tbl>
    <w:p>
      <w:pPr>
        <w:spacing w:before="200"/>
      </w:pPr>
    </w:p>
    <w:p>
      <w:pPr>
        <w:spacing w:after="160" w:line="288"/>
        <w:jc w:val="both"/>
      </w:pPr>
      <w:r>
        <w:rPr>
          <w:rFonts w:ascii="Georgia" w:cs="Georgia" w:eastAsia="Georgia" w:hAnsi="Georgia"/>
          <w:i/>
          <w:iCs/>
          <w:color w:val="333333"/>
          <w:sz w:val="19"/>
          <w:szCs w:val="19"/>
        </w:rPr>
        <w:t xml:space="preserve">These figures reflect current planning estimates for an actively developing program and are updated as Program 1 grows. AgroHouse Foundation avoids exaggerated impact claims and reports only verified or clearly labeled estimated activity.</w:t>
      </w:r>
    </w:p>
    <w:p>
      <w:pPr>
        <w:pBdr>
          <w:bottom w:val="single" w:color="2E5B4C" w:sz="8" w:space="4"/>
        </w:pBdr>
        <w:spacing w:after="160" w:before="260"/>
      </w:pPr>
      <w:r>
        <w:rPr>
          <w:rFonts w:ascii="Georgia" w:cs="Georgia" w:eastAsia="Georgia" w:hAnsi="Georgia"/>
          <w:b/>
          <w:bCs/>
          <w:color w:val="2E5B4C"/>
          <w:sz w:val="30"/>
          <w:szCs w:val="30"/>
        </w:rPr>
        <w:t xml:space="preserve">What Your Support Provides</w:t>
      </w:r>
    </w:p>
    <w:p>
      <w:pPr>
        <w:pStyle w:val="ListParagraph"/>
        <w:numPr>
          <w:ilvl w:val="0"/>
          <w:numId w:val="1"/>
        </w:numPr>
        <w:spacing w:after="100"/>
        <w:ind w:left="380"/>
      </w:pPr>
      <w:r>
        <w:rPr>
          <w:rFonts w:ascii="Georgia" w:cs="Georgia" w:eastAsia="Georgia" w:hAnsi="Georgia"/>
          <w:color w:val="333333"/>
          <w:sz w:val="22"/>
          <w:szCs w:val="22"/>
        </w:rPr>
        <w:t xml:space="preserve">Meals and meal-service supplies for outreach guests</w:t>
      </w:r>
    </w:p>
    <w:p>
      <w:pPr>
        <w:pStyle w:val="ListParagraph"/>
        <w:numPr>
          <w:ilvl w:val="0"/>
          <w:numId w:val="1"/>
        </w:numPr>
        <w:spacing w:after="100"/>
        <w:ind w:left="380"/>
      </w:pPr>
      <w:r>
        <w:rPr>
          <w:rFonts w:ascii="Georgia" w:cs="Georgia" w:eastAsia="Georgia" w:hAnsi="Georgia"/>
          <w:color w:val="333333"/>
          <w:sz w:val="22"/>
          <w:szCs w:val="22"/>
        </w:rPr>
        <w:t xml:space="preserve">Coffee, tea, and hydration station resources</w:t>
      </w:r>
    </w:p>
    <w:p>
      <w:pPr>
        <w:pStyle w:val="ListParagraph"/>
        <w:numPr>
          <w:ilvl w:val="0"/>
          <w:numId w:val="1"/>
        </w:numPr>
        <w:spacing w:after="100"/>
        <w:ind w:left="380"/>
      </w:pPr>
      <w:r>
        <w:rPr>
          <w:rFonts w:ascii="Georgia" w:cs="Georgia" w:eastAsia="Georgia" w:hAnsi="Georgia"/>
          <w:color w:val="333333"/>
          <w:sz w:val="22"/>
          <w:szCs w:val="22"/>
        </w:rPr>
        <w:t xml:space="preserve">Hygiene “blessing bags” assembled and distributed to individuals in need</w:t>
      </w:r>
    </w:p>
    <w:p>
      <w:pPr>
        <w:pStyle w:val="ListParagraph"/>
        <w:numPr>
          <w:ilvl w:val="0"/>
          <w:numId w:val="1"/>
        </w:numPr>
        <w:spacing w:after="100"/>
        <w:ind w:left="380"/>
      </w:pPr>
      <w:r>
        <w:rPr>
          <w:rFonts w:ascii="Georgia" w:cs="Georgia" w:eastAsia="Georgia" w:hAnsi="Georgia"/>
          <w:color w:val="333333"/>
          <w:sz w:val="22"/>
          <w:szCs w:val="22"/>
        </w:rPr>
        <w:t xml:space="preserve">Storage, transport, and logistics infrastructure that keeps resources flowing reliably</w:t>
      </w:r>
    </w:p>
    <w:p>
      <w:pPr>
        <w:pStyle w:val="ListParagraph"/>
        <w:numPr>
          <w:ilvl w:val="0"/>
          <w:numId w:val="1"/>
        </w:numPr>
        <w:spacing w:after="100"/>
        <w:ind w:left="380"/>
      </w:pPr>
      <w:r>
        <w:rPr>
          <w:rFonts w:ascii="Georgia" w:cs="Georgia" w:eastAsia="Georgia" w:hAnsi="Georgia"/>
          <w:color w:val="333333"/>
          <w:sz w:val="22"/>
          <w:szCs w:val="22"/>
        </w:rPr>
        <w:t xml:space="preserve">Program administration, compliance, and grant-readiness so support reaches the community efficiently</w:t>
      </w:r>
    </w:p>
    <w:p>
      <w:pPr>
        <w:pBdr>
          <w:bottom w:val="single" w:color="2E5B4C" w:sz="8" w:space="4"/>
        </w:pBdr>
        <w:spacing w:after="160" w:before="260"/>
      </w:pPr>
      <w:r>
        <w:rPr>
          <w:rFonts w:ascii="Georgia" w:cs="Georgia" w:eastAsia="Georgia" w:hAnsi="Georgia"/>
          <w:b/>
          <w:bCs/>
          <w:color w:val="2E5B4C"/>
          <w:sz w:val="30"/>
          <w:szCs w:val="30"/>
        </w:rPr>
        <w:t xml:space="preserve">Looking Ahead</w:t>
      </w:r>
    </w:p>
    <w:p>
      <w:pPr>
        <w:spacing w:after="160" w:line="288"/>
        <w:jc w:val="both"/>
      </w:pPr>
      <w:r>
        <w:rPr>
          <w:rFonts w:ascii="Georgia" w:cs="Georgia" w:eastAsia="Georgia" w:hAnsi="Georgia"/>
          <w:color w:val="333333"/>
          <w:sz w:val="22"/>
          <w:szCs w:val="22"/>
        </w:rPr>
        <w:t xml:space="preserve">Beyond Program 1, AgroHouse Foundation is developing a phased path toward sustainable agriculture (Program 2), workforce development and education (Program 3), and vocational housing (Program 4) — each requiring its own funding, capacity, and Board approval before launch.</w:t>
      </w:r>
    </w:p>
    <w:p>
      <w:pPr>
        <w:sectPr>
          <w:headerReference w:type="default" r:id="rId11"/>
          <w:footerReference w:type="default" r:id="rId12"/>
          <w:pgSz w:w="12240" w:h="15840" w:orient="portrait"/>
          <w:pgMar w:top="1080" w:right="1080" w:bottom="1080" w:left="1080" w:header="708" w:footer="708" w:gutter="0"/>
          <w:pgNumType/>
          <w:docGrid w:linePitch="360"/>
        </w:sectPr>
      </w:pPr>
    </w:p>
    <w:p>
      <w:pPr>
        <w:spacing w:after="80"/>
      </w:pPr>
      <w:r>
        <w:rPr>
          <w:rFonts w:ascii="Georgia" w:cs="Georgia" w:eastAsia="Georgia" w:hAnsi="Georgia"/>
          <w:b/>
          <w:bCs/>
          <w:color w:val="C9A227"/>
          <w:spacing w:val="20"/>
          <w:sz w:val="16"/>
          <w:szCs w:val="16"/>
        </w:rPr>
        <w:t xml:space="preserve">WAYS TO PARTNER</w:t>
      </w:r>
    </w:p>
    <w:p>
      <w:pPr>
        <w:pBdr>
          <w:bottom w:val="single" w:color="2E5B4C" w:sz="8" w:space="4"/>
        </w:pBdr>
        <w:spacing w:after="160" w:before="260"/>
      </w:pPr>
      <w:r>
        <w:rPr>
          <w:rFonts w:ascii="Georgia" w:cs="Georgia" w:eastAsia="Georgia" w:hAnsi="Georgia"/>
          <w:b/>
          <w:bCs/>
          <w:color w:val="2E5B4C"/>
          <w:sz w:val="30"/>
          <w:szCs w:val="30"/>
        </w:rPr>
        <w:t xml:space="preserve">Become a Community Partner</w:t>
      </w:r>
    </w:p>
    <w:p>
      <w:pPr>
        <w:spacing w:after="160" w:line="288"/>
        <w:jc w:val="both"/>
      </w:pPr>
      <w:r>
        <w:rPr>
          <w:rFonts w:ascii="Georgia" w:cs="Georgia" w:eastAsia="Georgia" w:hAnsi="Georgia"/>
          <w:color w:val="333333"/>
          <w:sz w:val="22"/>
          <w:szCs w:val="22"/>
        </w:rPr>
        <w:t xml:space="preserve">AgroHouse Foundation welcomes local businesses, congregations, and individuals who want to invest in a debt-free, community-driven organization. Partnership levels below are illustrative starting points for conversation — final tier names, benefits, and amounts should match the Board-approved Sponsorship Strategy.</w:t>
      </w:r>
    </w:p>
    <w:p>
      <w:pPr>
        <w:spacing w:after="40" w:before="220"/>
      </w:pPr>
      <w:r>
        <w:rPr>
          <w:rFonts w:ascii="Georgia" w:cs="Georgia" w:eastAsia="Georgia" w:hAnsi="Georgia"/>
          <w:b/>
          <w:bCs/>
          <w:color w:val="1F3F34"/>
          <w:sz w:val="24"/>
          <w:szCs w:val="24"/>
        </w:rPr>
        <w:t xml:space="preserve">Community Partner</w:t>
      </w:r>
    </w:p>
    <w:p>
      <w:pPr>
        <w:spacing w:after="80"/>
      </w:pPr>
      <w:r>
        <w:rPr>
          <w:rFonts w:ascii="Georgia" w:cs="Georgia" w:eastAsia="Georgia" w:hAnsi="Georgia"/>
          <w:i/>
          <w:iCs/>
          <w:color w:val="333333"/>
          <w:sz w:val="20"/>
          <w:szCs w:val="20"/>
        </w:rPr>
        <w:t xml:space="preserve">An entry-level, no-pressure way to support Program 1 on a recurring or one-time basis.</w:t>
      </w:r>
    </w:p>
    <w:p>
      <w:pPr>
        <w:pStyle w:val="ListParagraph"/>
        <w:numPr>
          <w:ilvl w:val="0"/>
          <w:numId w:val="1"/>
        </w:numPr>
        <w:spacing w:after="100"/>
        <w:ind w:left="380"/>
      </w:pPr>
      <w:r>
        <w:rPr>
          <w:rFonts w:ascii="Georgia" w:cs="Georgia" w:eastAsia="Georgia" w:hAnsi="Georgia"/>
          <w:color w:val="333333"/>
          <w:sz w:val="20"/>
          <w:szCs w:val="20"/>
        </w:rPr>
        <w:t xml:space="preserve">Name listed on AgroHouse Foundation's community partner materials</w:t>
      </w:r>
    </w:p>
    <w:p>
      <w:pPr>
        <w:pStyle w:val="ListParagraph"/>
        <w:numPr>
          <w:ilvl w:val="0"/>
          <w:numId w:val="1"/>
        </w:numPr>
        <w:spacing w:after="100"/>
        <w:ind w:left="380"/>
      </w:pPr>
      <w:r>
        <w:rPr>
          <w:rFonts w:ascii="Georgia" w:cs="Georgia" w:eastAsia="Georgia" w:hAnsi="Georgia"/>
          <w:color w:val="333333"/>
          <w:sz w:val="20"/>
          <w:szCs w:val="20"/>
        </w:rPr>
        <w:t xml:space="preserve">Periodic impact updates from the Program Manager</w:t>
      </w:r>
    </w:p>
    <w:p>
      <w:pPr>
        <w:pStyle w:val="ListParagraph"/>
        <w:numPr>
          <w:ilvl w:val="0"/>
          <w:numId w:val="1"/>
        </w:numPr>
        <w:spacing w:after="100"/>
        <w:ind w:left="380"/>
      </w:pPr>
      <w:r>
        <w:rPr>
          <w:rFonts w:ascii="Georgia" w:cs="Georgia" w:eastAsia="Georgia" w:hAnsi="Georgia"/>
          <w:color w:val="333333"/>
          <w:sz w:val="20"/>
          <w:szCs w:val="20"/>
        </w:rPr>
        <w:t xml:space="preserve">Suggested level: [to be confirmed with Board-approved sponsorship strategy]</w:t>
      </w:r>
    </w:p>
    <w:p>
      <w:pPr>
        <w:spacing w:after="40" w:before="220"/>
      </w:pPr>
      <w:r>
        <w:rPr>
          <w:rFonts w:ascii="Georgia" w:cs="Georgia" w:eastAsia="Georgia" w:hAnsi="Georgia"/>
          <w:b/>
          <w:bCs/>
          <w:color w:val="1F3F34"/>
          <w:sz w:val="24"/>
          <w:szCs w:val="24"/>
        </w:rPr>
        <w:t xml:space="preserve">Outreach Partner</w:t>
      </w:r>
    </w:p>
    <w:p>
      <w:pPr>
        <w:spacing w:after="80"/>
      </w:pPr>
      <w:r>
        <w:rPr>
          <w:rFonts w:ascii="Georgia" w:cs="Georgia" w:eastAsia="Georgia" w:hAnsi="Georgia"/>
          <w:i/>
          <w:iCs/>
          <w:color w:val="333333"/>
          <w:sz w:val="20"/>
          <w:szCs w:val="20"/>
        </w:rPr>
        <w:t xml:space="preserve">For businesses and organizations ready to make a visible, ongoing commitment to outreach stabilization.</w:t>
      </w:r>
    </w:p>
    <w:p>
      <w:pPr>
        <w:pStyle w:val="ListParagraph"/>
        <w:numPr>
          <w:ilvl w:val="0"/>
          <w:numId w:val="1"/>
        </w:numPr>
        <w:spacing w:after="100"/>
        <w:ind w:left="380"/>
      </w:pPr>
      <w:r>
        <w:rPr>
          <w:rFonts w:ascii="Georgia" w:cs="Georgia" w:eastAsia="Georgia" w:hAnsi="Georgia"/>
          <w:color w:val="333333"/>
          <w:sz w:val="20"/>
          <w:szCs w:val="20"/>
        </w:rPr>
        <w:t xml:space="preserve">Recognition at outreach events and on printed materials</w:t>
      </w:r>
    </w:p>
    <w:p>
      <w:pPr>
        <w:pStyle w:val="ListParagraph"/>
        <w:numPr>
          <w:ilvl w:val="0"/>
          <w:numId w:val="1"/>
        </w:numPr>
        <w:spacing w:after="100"/>
        <w:ind w:left="380"/>
      </w:pPr>
      <w:r>
        <w:rPr>
          <w:rFonts w:ascii="Georgia" w:cs="Georgia" w:eastAsia="Georgia" w:hAnsi="Georgia"/>
          <w:color w:val="333333"/>
          <w:sz w:val="20"/>
          <w:szCs w:val="20"/>
        </w:rPr>
        <w:t xml:space="preserve">Option to volunteer alongside AgroHouse Foundation activities</w:t>
      </w:r>
    </w:p>
    <w:p>
      <w:pPr>
        <w:pStyle w:val="ListParagraph"/>
        <w:numPr>
          <w:ilvl w:val="0"/>
          <w:numId w:val="1"/>
        </w:numPr>
        <w:spacing w:after="100"/>
        <w:ind w:left="380"/>
      </w:pPr>
      <w:r>
        <w:rPr>
          <w:rFonts w:ascii="Georgia" w:cs="Georgia" w:eastAsia="Georgia" w:hAnsi="Georgia"/>
          <w:color w:val="333333"/>
          <w:sz w:val="20"/>
          <w:szCs w:val="20"/>
        </w:rPr>
        <w:t xml:space="preserve">Suggested level: [to be confirmed with Board-approved sponsorship strategy]</w:t>
      </w:r>
    </w:p>
    <w:p>
      <w:pPr>
        <w:spacing w:after="40" w:before="220"/>
      </w:pPr>
      <w:r>
        <w:rPr>
          <w:rFonts w:ascii="Georgia" w:cs="Georgia" w:eastAsia="Georgia" w:hAnsi="Georgia"/>
          <w:b/>
          <w:bCs/>
          <w:color w:val="1F3F34"/>
          <w:sz w:val="24"/>
          <w:szCs w:val="24"/>
        </w:rPr>
        <w:t xml:space="preserve">Founding Partner</w:t>
      </w:r>
    </w:p>
    <w:p>
      <w:pPr>
        <w:spacing w:after="80"/>
      </w:pPr>
      <w:r>
        <w:rPr>
          <w:rFonts w:ascii="Georgia" w:cs="Georgia" w:eastAsia="Georgia" w:hAnsi="Georgia"/>
          <w:i/>
          <w:iCs/>
          <w:color w:val="333333"/>
          <w:sz w:val="20"/>
          <w:szCs w:val="20"/>
        </w:rPr>
        <w:t xml:space="preserve">For lead supporters helping launch and stabilize Program 1 during this formative stage.</w:t>
      </w:r>
    </w:p>
    <w:p>
      <w:pPr>
        <w:pStyle w:val="ListParagraph"/>
        <w:numPr>
          <w:ilvl w:val="0"/>
          <w:numId w:val="1"/>
        </w:numPr>
        <w:spacing w:after="100"/>
        <w:ind w:left="380"/>
      </w:pPr>
      <w:r>
        <w:rPr>
          <w:rFonts w:ascii="Georgia" w:cs="Georgia" w:eastAsia="Georgia" w:hAnsi="Georgia"/>
          <w:color w:val="333333"/>
          <w:sz w:val="20"/>
          <w:szCs w:val="20"/>
        </w:rPr>
        <w:t xml:space="preserve">Premier recognition across AgroHouse Foundation communications</w:t>
      </w:r>
    </w:p>
    <w:p>
      <w:pPr>
        <w:pStyle w:val="ListParagraph"/>
        <w:numPr>
          <w:ilvl w:val="0"/>
          <w:numId w:val="1"/>
        </w:numPr>
        <w:spacing w:after="100"/>
        <w:ind w:left="380"/>
      </w:pPr>
      <w:r>
        <w:rPr>
          <w:rFonts w:ascii="Georgia" w:cs="Georgia" w:eastAsia="Georgia" w:hAnsi="Georgia"/>
          <w:color w:val="333333"/>
          <w:sz w:val="20"/>
          <w:szCs w:val="20"/>
        </w:rPr>
        <w:t xml:space="preserve">Direct briefings on program growth and future phases</w:t>
      </w:r>
    </w:p>
    <w:p>
      <w:pPr>
        <w:pStyle w:val="ListParagraph"/>
        <w:numPr>
          <w:ilvl w:val="0"/>
          <w:numId w:val="1"/>
        </w:numPr>
        <w:spacing w:after="100"/>
        <w:ind w:left="380"/>
      </w:pPr>
      <w:r>
        <w:rPr>
          <w:rFonts w:ascii="Georgia" w:cs="Georgia" w:eastAsia="Georgia" w:hAnsi="Georgia"/>
          <w:color w:val="333333"/>
          <w:sz w:val="20"/>
          <w:szCs w:val="20"/>
        </w:rPr>
        <w:t xml:space="preserve">Suggested level: [to be confirmed with Board-approved sponsorship strategy]</w:t>
      </w:r>
    </w:p>
    <w:p>
      <w:pPr>
        <w:spacing w:before="220"/>
      </w:pPr>
    </w:p>
    <w:p>
      <w:pPr>
        <w:pBdr>
          <w:bottom w:val="single" w:color="2E5B4C" w:sz="8" w:space="4"/>
        </w:pBdr>
        <w:spacing w:after="160" w:before="260"/>
      </w:pPr>
      <w:r>
        <w:rPr>
          <w:rFonts w:ascii="Georgia" w:cs="Georgia" w:eastAsia="Georgia" w:hAnsi="Georgia"/>
          <w:b/>
          <w:bCs/>
          <w:color w:val="2E5B4C"/>
          <w:sz w:val="30"/>
          <w:szCs w:val="30"/>
        </w:rPr>
        <w:t xml:space="preserve">Other Ways to Give</w:t>
      </w:r>
    </w:p>
    <w:p>
      <w:pPr>
        <w:pStyle w:val="ListParagraph"/>
        <w:numPr>
          <w:ilvl w:val="0"/>
          <w:numId w:val="1"/>
        </w:numPr>
        <w:spacing w:after="100"/>
        <w:ind w:left="380"/>
      </w:pPr>
      <w:r>
        <w:rPr>
          <w:rFonts w:ascii="Georgia" w:cs="Georgia" w:eastAsia="Georgia" w:hAnsi="Georgia"/>
          <w:color w:val="333333"/>
          <w:sz w:val="22"/>
          <w:szCs w:val="22"/>
        </w:rPr>
        <w:t xml:space="preserve">In-kind donations of food, hygiene items, or logistics support</w:t>
      </w:r>
    </w:p>
    <w:p>
      <w:pPr>
        <w:pStyle w:val="ListParagraph"/>
        <w:numPr>
          <w:ilvl w:val="0"/>
          <w:numId w:val="1"/>
        </w:numPr>
        <w:spacing w:after="100"/>
        <w:ind w:left="380"/>
      </w:pPr>
      <w:r>
        <w:rPr>
          <w:rFonts w:ascii="Georgia" w:cs="Georgia" w:eastAsia="Georgia" w:hAnsi="Georgia"/>
          <w:color w:val="333333"/>
          <w:sz w:val="22"/>
          <w:szCs w:val="22"/>
        </w:rPr>
        <w:t xml:space="preserve">Corporate sponsorship of a specific outreach day or resource</w:t>
      </w:r>
    </w:p>
    <w:p>
      <w:pPr>
        <w:pStyle w:val="ListParagraph"/>
        <w:numPr>
          <w:ilvl w:val="0"/>
          <w:numId w:val="1"/>
        </w:numPr>
        <w:spacing w:after="100"/>
        <w:ind w:left="380"/>
      </w:pPr>
      <w:r>
        <w:rPr>
          <w:rFonts w:ascii="Georgia" w:cs="Georgia" w:eastAsia="Georgia" w:hAnsi="Georgia"/>
          <w:color w:val="333333"/>
          <w:sz w:val="22"/>
          <w:szCs w:val="22"/>
        </w:rPr>
        <w:t xml:space="preserve">Volunteer time alongside our community partners</w:t>
      </w:r>
    </w:p>
    <w:p>
      <w:pPr>
        <w:pStyle w:val="ListParagraph"/>
        <w:numPr>
          <w:ilvl w:val="0"/>
          <w:numId w:val="1"/>
        </w:numPr>
        <w:spacing w:after="100"/>
        <w:ind w:left="380"/>
      </w:pPr>
      <w:r>
        <w:rPr>
          <w:rFonts w:ascii="Georgia" w:cs="Georgia" w:eastAsia="Georgia" w:hAnsi="Georgia"/>
          <w:color w:val="333333"/>
          <w:sz w:val="22"/>
          <w:szCs w:val="22"/>
        </w:rPr>
        <w:t xml:space="preserve">Grant and foundation introductions</w:t>
      </w:r>
    </w:p>
    <w:p>
      <w:pPr>
        <w:spacing w:after="160" w:line="288"/>
        <w:jc w:val="both"/>
      </w:pPr>
      <w:r>
        <w:rPr>
          <w:rFonts w:ascii="Georgia" w:cs="Georgia" w:eastAsia="Georgia" w:hAnsi="Georgia"/>
          <w:i/>
          <w:iCs/>
          <w:color w:val="333333"/>
          <w:sz w:val="19"/>
          <w:szCs w:val="19"/>
        </w:rPr>
        <w:t xml:space="preserve">AgroHouse Foundation is pursuing federal 501(c)(3) tax-exempt status; deductibility of any contribution should be confirmed once that determination is received.</w:t>
      </w:r>
    </w:p>
    <w:p>
      <w:pPr>
        <w:sectPr>
          <w:headerReference w:type="default" r:id="rId13"/>
          <w:footerReference w:type="default" r:id="rId14"/>
          <w:pgSz w:w="12240" w:h="15840" w:orient="portrait"/>
          <w:pgMar w:top="1080" w:right="1080" w:bottom="1080" w:left="1080" w:header="708" w:footer="708" w:gutter="0"/>
          <w:pgNumType/>
          <w:docGrid w:linePitch="360"/>
        </w:sectPr>
      </w:pPr>
    </w:p>
    <w:p>
      <w:pPr>
        <w:spacing w:after="80"/>
      </w:pPr>
      <w:r>
        <w:rPr>
          <w:rFonts w:ascii="Georgia" w:cs="Georgia" w:eastAsia="Georgia" w:hAnsi="Georgia"/>
          <w:b/>
          <w:bCs/>
          <w:color w:val="C9A227"/>
          <w:spacing w:val="20"/>
          <w:sz w:val="16"/>
          <w:szCs w:val="16"/>
        </w:rPr>
        <w:t xml:space="preserve">LET'S TALK</w:t>
      </w:r>
    </w:p>
    <w:p>
      <w:pPr>
        <w:pBdr>
          <w:bottom w:val="single" w:color="2E5B4C" w:sz="8" w:space="4"/>
        </w:pBdr>
        <w:spacing w:after="160" w:before="260"/>
      </w:pPr>
      <w:r>
        <w:rPr>
          <w:rFonts w:ascii="Georgia" w:cs="Georgia" w:eastAsia="Georgia" w:hAnsi="Georgia"/>
          <w:b/>
          <w:bCs/>
          <w:color w:val="2E5B4C"/>
          <w:sz w:val="30"/>
          <w:szCs w:val="30"/>
        </w:rPr>
        <w:t xml:space="preserve">Get in Touch</w:t>
      </w:r>
    </w:p>
    <w:p>
      <w:pPr>
        <w:spacing w:after="160" w:line="288"/>
        <w:jc w:val="both"/>
      </w:pPr>
      <w:r>
        <w:rPr>
          <w:rFonts w:ascii="Georgia" w:cs="Georgia" w:eastAsia="Georgia" w:hAnsi="Georgia"/>
          <w:color w:val="333333"/>
          <w:sz w:val="22"/>
          <w:szCs w:val="22"/>
        </w:rPr>
        <w:t xml:space="preserve">Whether you're exploring a partnership, considering a donation, or simply want to learn more about AgroHouse Foundation, we'd welcome the conversation.</w:t>
      </w:r>
    </w:p>
    <w:p>
      <w:pPr>
        <w:spacing w:after="60" w:before="200"/>
      </w:pPr>
      <w:r>
        <w:rPr>
          <w:rFonts w:ascii="Georgia" w:cs="Georgia" w:eastAsia="Georgia" w:hAnsi="Georgia"/>
          <w:b/>
          <w:bCs/>
          <w:color w:val="1F3F34"/>
          <w:sz w:val="24"/>
          <w:szCs w:val="24"/>
        </w:rPr>
        <w:t xml:space="preserve">Susan Slater</w:t>
      </w:r>
    </w:p>
    <w:p>
      <w:pPr>
        <w:spacing w:after="200"/>
      </w:pPr>
      <w:r>
        <w:rPr>
          <w:rFonts w:ascii="Georgia" w:cs="Georgia" w:eastAsia="Georgia" w:hAnsi="Georgia"/>
          <w:color w:val="333333"/>
          <w:sz w:val="20"/>
          <w:szCs w:val="20"/>
        </w:rPr>
        <w:t xml:space="preserve">Marketing &amp; Fundraising Manager  |  Treasurer &amp; Director</w:t>
      </w:r>
    </w:p>
    <w:p>
      <w:pPr>
        <w:spacing w:after="60"/>
      </w:pPr>
      <w:r>
        <w:rPr>
          <w:rFonts w:ascii="Georgia" w:cs="Georgia" w:eastAsia="Georgia" w:hAnsi="Georgia"/>
          <w:b/>
          <w:bCs/>
          <w:color w:val="1F3F34"/>
          <w:sz w:val="24"/>
          <w:szCs w:val="24"/>
        </w:rPr>
        <w:t xml:space="preserve">Maggie Baty</w:t>
      </w:r>
    </w:p>
    <w:p>
      <w:pPr>
        <w:spacing w:after="200"/>
      </w:pPr>
      <w:r>
        <w:rPr>
          <w:rFonts w:ascii="Georgia" w:cs="Georgia" w:eastAsia="Georgia" w:hAnsi="Georgia"/>
          <w:color w:val="333333"/>
          <w:sz w:val="20"/>
          <w:szCs w:val="20"/>
        </w:rPr>
        <w:t xml:space="preserve">Founder, Chairperson &amp; Executive Director</w:t>
      </w:r>
    </w:p>
    <w:p>
      <w:pPr>
        <w:spacing w:after="60" w:before="200"/>
      </w:pPr>
      <w:r>
        <w:rPr>
          <w:rFonts w:ascii="Georgia" w:cs="Georgia" w:eastAsia="Georgia" w:hAnsi="Georgia"/>
          <w:b/>
          <w:bCs/>
          <w:color w:val="1F3F34"/>
          <w:sz w:val="22"/>
          <w:szCs w:val="22"/>
        </w:rPr>
        <w:t xml:space="preserve">Email / Phone: </w:t>
      </w:r>
      <w:r>
        <w:rPr>
          <w:rFonts w:ascii="Georgia" w:cs="Georgia" w:eastAsia="Georgia" w:hAnsi="Georgia"/>
          <w:color w:val="333333"/>
          <w:sz w:val="22"/>
          <w:szCs w:val="22"/>
        </w:rPr>
        <w:t xml:space="preserve">[to be added]</w:t>
      </w:r>
    </w:p>
    <w:p>
      <w:pPr>
        <w:spacing w:after="60"/>
      </w:pPr>
      <w:r>
        <w:rPr>
          <w:rFonts w:ascii="Georgia" w:cs="Georgia" w:eastAsia="Georgia" w:hAnsi="Georgia"/>
          <w:b/>
          <w:bCs/>
          <w:color w:val="1F3F34"/>
          <w:sz w:val="22"/>
          <w:szCs w:val="22"/>
        </w:rPr>
        <w:t xml:space="preserve">Website: </w:t>
      </w:r>
      <w:r>
        <w:rPr>
          <w:rFonts w:ascii="Georgia" w:cs="Georgia" w:eastAsia="Georgia" w:hAnsi="Georgia"/>
          <w:color w:val="333333"/>
          <w:sz w:val="22"/>
          <w:szCs w:val="22"/>
        </w:rPr>
        <w:t xml:space="preserve">[to be added upon launch]</w:t>
      </w:r>
    </w:p>
    <w:p>
      <w:pPr>
        <w:spacing w:after="300"/>
      </w:pPr>
      <w:r>
        <w:rPr>
          <w:rFonts w:ascii="Georgia" w:cs="Georgia" w:eastAsia="Georgia" w:hAnsi="Georgia"/>
          <w:b/>
          <w:bCs/>
          <w:color w:val="1F3F34"/>
          <w:sz w:val="22"/>
          <w:szCs w:val="22"/>
        </w:rPr>
        <w:t xml:space="preserve">Service Area: </w:t>
      </w:r>
      <w:r>
        <w:rPr>
          <w:rFonts w:ascii="Georgia" w:cs="Georgia" w:eastAsia="Georgia" w:hAnsi="Georgia"/>
          <w:color w:val="333333"/>
          <w:sz w:val="22"/>
          <w:szCs w:val="22"/>
        </w:rPr>
        <w:t xml:space="preserve">Wesley Chapel, Zephyrhills, Dade City, Land O' Lakes &amp; East Pasco County, FL</w:t>
      </w:r>
    </w:p>
    <w:p>
      <w:pPr>
        <w:spacing w:before="500"/>
        <w:jc w:val="center"/>
      </w:pPr>
      <w:r>
        <w:drawing>
          <wp:inline distT="0" distB="0" distL="0" distR="0">
            <wp:extent cx="666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66750" cy="838200"/>
                    </a:xfrm>
                    <a:prstGeom prst="rect">
                      <a:avLst/>
                    </a:prstGeom>
                  </pic:spPr>
                </pic:pic>
              </a:graphicData>
            </a:graphic>
          </wp:inline>
        </w:drawing>
      </w:r>
    </w:p>
    <w:p>
      <w:pPr>
        <w:spacing w:before="160"/>
        <w:jc w:val="center"/>
      </w:pPr>
      <w:r>
        <w:rPr>
          <w:rFonts w:ascii="Georgia" w:cs="Georgia" w:eastAsia="Georgia" w:hAnsi="Georgia"/>
          <w:i/>
          <w:iCs/>
          <w:color w:val="C9A227"/>
          <w:sz w:val="20"/>
          <w:szCs w:val="20"/>
        </w:rPr>
        <w:t xml:space="preserve">Stability  •  Structure  •  Growth  •  Community</w:t>
      </w:r>
    </w:p>
    <w:p>
      <w:pPr>
        <w:spacing w:before="60"/>
        <w:jc w:val="center"/>
      </w:pPr>
      <w:r>
        <w:rPr>
          <w:rFonts w:ascii="Georgia" w:cs="Georgia" w:eastAsia="Georgia" w:hAnsi="Georgia"/>
          <w:color w:val="888888"/>
          <w:sz w:val="16"/>
          <w:szCs w:val="16"/>
        </w:rPr>
        <w:t xml:space="preserve">AGHF Inc. d/b/a AgroHouse Foundation — Florida Nonprofit Corporation</w:t>
      </w:r>
    </w:p>
    <w:sectPr>
      <w:headerReference w:type="default" r:id="rId15"/>
      <w:footerReference w:type="default" r:id="rId1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Georgia" w:cs="Georgia" w:eastAsia="Georgia" w:hAnsi="Georgia"/>
        <w:color w:val="888888"/>
        <w:sz w:val="16"/>
        <w:szCs w:val="16"/>
      </w:rPr>
      <w:t xml:space="preserve">AgroHouse Foundation™  |  AGHF Inc.</w:t>
    </w:r>
    <w:r>
      <w:rPr>
        <w:sz w:val="16"/>
        <w:szCs w:val="16"/>
      </w:rPr>
      <w:t xml:space="preserve">	</w:t>
    </w:r>
    <w:r>
      <w:rPr>
        <w:rFonts w:ascii="Georgia" w:cs="Georgia" w:eastAsia="Georgia" w:hAnsi="Georgia"/>
        <w:color w:val="888888"/>
        <w:sz w:val="16"/>
        <w:szCs w:val="16"/>
      </w:rPr>
      <w:t xml:space="preserve">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Georgia" w:cs="Georgia" w:eastAsia="Georgia" w:hAnsi="Georgia"/>
        <w:color w:val="888888"/>
        <w:sz w:val="16"/>
        <w:szCs w:val="16"/>
      </w:rPr>
      <w:t xml:space="preserve">AgroHouse Foundation™  |  AGHF Inc.</w:t>
    </w:r>
    <w:r>
      <w:rPr>
        <w:sz w:val="16"/>
        <w:szCs w:val="16"/>
      </w:rPr>
      <w:t xml:space="preserve">	</w:t>
    </w:r>
    <w:r>
      <w:rPr>
        <w:rFonts w:ascii="Georgia" w:cs="Georgia" w:eastAsia="Georgia" w:hAnsi="Georgia"/>
        <w:color w:val="888888"/>
        <w:sz w:val="16"/>
        <w:szCs w:val="16"/>
      </w:rPr>
      <w:t xml:space="preserve">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Georgia" w:cs="Georgia" w:eastAsia="Georgia" w:hAnsi="Georgia"/>
        <w:color w:val="888888"/>
        <w:sz w:val="16"/>
        <w:szCs w:val="16"/>
      </w:rPr>
      <w:t xml:space="preserve">AgroHouse Foundation™  |  AGHF Inc.</w:t>
    </w:r>
    <w:r>
      <w:rPr>
        <w:sz w:val="16"/>
        <w:szCs w:val="16"/>
      </w:rPr>
      <w:t xml:space="preserve">	</w:t>
    </w:r>
    <w:r>
      <w:rPr>
        <w:rFonts w:ascii="Georgia" w:cs="Georgia" w:eastAsia="Georgia" w:hAnsi="Georgia"/>
        <w:color w:val="888888"/>
        <w:sz w:val="16"/>
        <w:szCs w:val="16"/>
      </w:rPr>
      <w:t xml:space="preserve">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Georgia" w:cs="Georgia" w:eastAsia="Georgia" w:hAnsi="Georgia"/>
        <w:color w:val="888888"/>
        <w:sz w:val="16"/>
        <w:szCs w:val="16"/>
      </w:rPr>
      <w:t xml:space="preserve">AgroHouse Foundation™  |  AGHF Inc.</w:t>
    </w:r>
    <w:r>
      <w:rPr>
        <w:sz w:val="16"/>
        <w:szCs w:val="16"/>
      </w:rPr>
      <w:t xml:space="preserve">	</w:t>
    </w:r>
    <w:r>
      <w:rPr>
        <w:rFonts w:ascii="Georgia" w:cs="Georgia" w:eastAsia="Georgia" w:hAnsi="Georgia"/>
        <w:color w:val="888888"/>
        <w:sz w:val="16"/>
        <w:szCs w:val="16"/>
      </w:rPr>
      <w:t xml:space="preserve">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Georgia" w:cs="Georgia" w:eastAsia="Georgia" w:hAnsi="Georgia"/>
        <w:color w:val="888888"/>
        <w:sz w:val="16"/>
        <w:szCs w:val="16"/>
      </w:rPr>
      <w:t xml:space="preserve">AgroHouse Foundation™  |  AGHF Inc.</w:t>
    </w:r>
    <w:r>
      <w:rPr>
        <w:sz w:val="16"/>
        <w:szCs w:val="16"/>
      </w:rPr>
      <w:t xml:space="preserve">	</w:t>
    </w:r>
    <w:r>
      <w:rPr>
        <w:rFonts w:ascii="Georgia" w:cs="Georgia" w:eastAsia="Georgia" w:hAnsi="Georgia"/>
        <w:color w:val="888888"/>
        <w:sz w:val="16"/>
        <w:szCs w:val="16"/>
      </w:rPr>
      <w:t xml:space="preserve">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C9A227"/>
        <w:sz w:val="16"/>
        <w:szCs w:val="16"/>
      </w:rPr>
      <w:t xml:space="preserve">Marketing &amp; Partnership Portfolio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C9A227"/>
        <w:sz w:val="16"/>
        <w:szCs w:val="16"/>
      </w:rPr>
      <w:t xml:space="preserve">Marketing &amp; Partnership Portfolio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C9A227"/>
        <w:sz w:val="16"/>
        <w:szCs w:val="16"/>
      </w:rPr>
      <w:t xml:space="preserve">Marketing &amp; Partnership Portfolio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C9A227"/>
        <w:sz w:val="16"/>
        <w:szCs w:val="16"/>
      </w:rPr>
      <w:t xml:space="preserve">Marketing &amp; Partnership Portfolio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C9A227"/>
        <w:sz w:val="16"/>
        <w:szCs w:val="16"/>
      </w:rPr>
      <w:t xml:space="preserve">Marketing &amp; Partnership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73e57656b7076b9525340e8ef023eedcce8cdb52.jpg"/><Relationship Id="rId18" Type="http://schemas.openxmlformats.org/officeDocument/2006/relationships/image" Target="media/fae282efd65c10ccb5e2961f84f28808943b7f43.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2026-08-16T17:37:40.705Z</dcterms:created>
  <dcterms:modified xsi:type="dcterms:W3CDTF">2026-08-16T17:37:40.706Z</dcterms:modified>
</cp:coreProperties>
</file>

<file path=docProps/custom.xml><?xml version="1.0" encoding="utf-8"?>
<Properties xmlns="http://schemas.openxmlformats.org/officeDocument/2006/custom-properties" xmlns:vt="http://schemas.openxmlformats.org/officeDocument/2006/docPropsVTypes"/>
</file>