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2"/>
          <w:szCs w:val="32"/>
        </w:rPr>
        <w:t xml:space="preserve">BOARD ROLE SUMMARY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Director Orientation Document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CUSTOMIZE PER BOARD MEMBER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Board Position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[Title, e.g. Board Member / Officer]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Primary Responsibility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Core Responsibilities</w:t>
      </w:r>
    </w:p>
    <w:p>
      <w:pPr>
        <w:spacing w:after="60"/>
      </w:pPr>
      <w:r>
        <w:rPr>
          <w:i w:val="false"/>
          <w:iCs w:val="false"/>
          <w:sz w:val="20"/>
          <w:szCs w:val="20"/>
        </w:rPr>
        <w:t xml:space="preserve">• Participate in Board-level discussions and decisions</w:t>
      </w:r>
    </w:p>
    <w:p>
      <w:pPr>
        <w:spacing w:after="60"/>
      </w:pPr>
      <w:r>
        <w:rPr>
          <w:i w:val="false"/>
          <w:iCs w:val="false"/>
          <w:sz w:val="20"/>
          <w:szCs w:val="20"/>
        </w:rPr>
        <w:t xml:space="preserve">• Provide insight based on experience and area of expertise</w:t>
      </w:r>
    </w:p>
    <w:p>
      <w:pPr>
        <w:spacing w:after="60"/>
      </w:pPr>
      <w:r>
        <w:rPr>
          <w:i w:val="false"/>
          <w:iCs w:val="false"/>
          <w:sz w:val="20"/>
          <w:szCs w:val="20"/>
        </w:rPr>
        <w:t xml:space="preserve">• Support alignment between planning and execution</w:t>
      </w:r>
    </w:p>
    <w:p>
      <w:pPr>
        <w:spacing w:after="220"/>
      </w:pPr>
      <w:r>
        <w:rPr>
          <w:i w:val="false"/>
          <w:iCs w:val="false"/>
          <w:sz w:val="20"/>
          <w:szCs w:val="20"/>
        </w:rPr>
        <w:t xml:space="preserve">• Ensure the organization remains structured, compliant, and sustainable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Role Clarification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This role is governance-based and does not include day-to-day operational responsibilities unless separately authorized by the Board through a specific staffing appointment or compensation agreement.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Additional Position-Specific Duties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[Insert any officer-specific duties here — e.g. Treasurer financial oversight, Secretary recordkeeping, Chairperson meeting facilitation — drawn from the Bylaws.]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Board Role Summary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2026-08-19T14:18:51.484Z</dcterms:created>
  <dcterms:modified xsi:type="dcterms:W3CDTF">2026-08-19T14:18:51.484Z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