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CONFLICT OF INTEREST POLICY</w:t>
      </w:r>
    </w:p>
    <w:p>
      <w:pPr>
        <w:spacing w:after="80"/>
        <w:jc w:val="center"/>
      </w:pPr>
      <w:r>
        <w:rPr>
          <w:i/>
          <w:iCs/>
          <w:sz w:val="20"/>
          <w:szCs w:val="20"/>
        </w:rPr>
        <w:t xml:space="preserve">AGHF Inc. d/b/a AgroHouse Foundation</w:t>
      </w:r>
    </w:p>
    <w:p>
      <w:pPr>
        <w:spacing w:after="80"/>
        <w:jc w:val="center"/>
      </w:pPr>
      <w:r>
        <w:rPr>
          <w:b/>
          <w:bCs/>
          <w:sz w:val="18"/>
          <w:szCs w:val="18"/>
        </w:rPr>
        <w:t xml:space="preserve">TEMPLATE — FOR BOARD ADOPTION</w:t>
      </w:r>
    </w:p>
    <w:p>
      <w:pPr>
        <w:spacing w:after="320"/>
        <w:jc w:val="center"/>
      </w:pPr>
      <w:r>
        <w:rPr>
          <w:i/>
          <w:iCs/>
          <w:color w:val="C9A227"/>
          <w:sz w:val="18"/>
          <w:szCs w:val="18"/>
        </w:rPr>
        <w:t xml:space="preserve">Stability • Structure • Growth • Community</w:t>
      </w:r>
    </w:p>
    <w:p>
      <w:pPr>
        <w:spacing w:after="260"/>
      </w:pPr>
      <w:r>
        <w:rPr>
          <w:b w:val="false"/>
          <w:bCs w:val="false"/>
          <w:i w:val="false"/>
          <w:iCs w:val="false"/>
          <w:sz w:val="20"/>
          <w:szCs w:val="20"/>
        </w:rPr>
        <w:t xml:space="preserve">Adopted: ________________________________________</w:t>
      </w:r>
    </w:p>
    <w:p>
      <w:pPr>
        <w:pStyle w:val="Heading1"/>
        <w:spacing w:after="140" w:before="280"/>
      </w:pPr>
      <w:r>
        <w:rPr>
          <w:b/>
          <w:bCs/>
          <w:color w:val="1E5631"/>
          <w:sz w:val="26"/>
          <w:szCs w:val="26"/>
        </w:rPr>
        <w:t xml:space="preserve">Article I — Purpose</w:t>
      </w:r>
    </w:p>
    <w:p>
      <w:pPr>
        <w:spacing w:after="160"/>
      </w:pPr>
      <w:r>
        <w:rPr>
          <w:b w:val="false"/>
          <w:bCs w:val="false"/>
          <w:i w:val="false"/>
          <w:iCs w:val="false"/>
          <w:sz w:val="20"/>
          <w:szCs w:val="20"/>
        </w:rPr>
        <w:t xml:space="preserve">The purpose of this Conflict of Interest Policy is to protect the interests of AGHF Inc. d/b/a AgroHouse Foundation (the “Corporation”) whenever it is considering a transaction, arrangement, compensation decision, or activity that may benefit the private interests of an officer, director, employee, volunteer, contractor, or related party. This policy supplements applicable Florida nonprofit law and IRS requirements for organizations seeking and maintaining 501(c)(3) status.</w:t>
      </w:r>
    </w:p>
    <w:p>
      <w:pPr>
        <w:pStyle w:val="Heading1"/>
        <w:spacing w:after="140" w:before="280"/>
      </w:pPr>
      <w:r>
        <w:rPr>
          <w:b/>
          <w:bCs/>
          <w:color w:val="1E5631"/>
          <w:sz w:val="26"/>
          <w:szCs w:val="26"/>
        </w:rPr>
        <w:t xml:space="preserve">Article II — Persons Covered</w:t>
      </w:r>
    </w:p>
    <w:p>
      <w:pPr>
        <w:spacing w:after="160"/>
      </w:pPr>
      <w:r>
        <w:rPr>
          <w:b w:val="false"/>
          <w:bCs w:val="false"/>
          <w:i w:val="false"/>
          <w:iCs w:val="false"/>
          <w:sz w:val="20"/>
          <w:szCs w:val="20"/>
        </w:rPr>
        <w:t xml:space="preserve">Directors, Officers, Employees, Volunteers, Committee Members, Independent Contractors, and Key Advisors.</w:t>
      </w:r>
    </w:p>
    <w:p>
      <w:pPr>
        <w:pStyle w:val="Heading1"/>
        <w:spacing w:after="140" w:before="280"/>
      </w:pPr>
      <w:r>
        <w:rPr>
          <w:b/>
          <w:bCs/>
          <w:color w:val="1E5631"/>
          <w:sz w:val="26"/>
          <w:szCs w:val="26"/>
        </w:rPr>
        <w:t xml:space="preserve">Article III — Definitions</w:t>
      </w:r>
    </w:p>
    <w:p>
      <w:pPr>
        <w:pStyle w:val="Heading2"/>
        <w:spacing w:after="120" w:before="240"/>
      </w:pPr>
      <w:r>
        <w:rPr>
          <w:b/>
          <w:bCs/>
          <w:color w:val="1E5631"/>
          <w:sz w:val="24"/>
          <w:szCs w:val="24"/>
        </w:rPr>
        <w:t xml:space="preserve">Interested Person</w:t>
      </w:r>
    </w:p>
    <w:p>
      <w:pPr>
        <w:spacing w:after="160"/>
      </w:pPr>
      <w:r>
        <w:rPr>
          <w:b w:val="false"/>
          <w:bCs w:val="false"/>
          <w:i w:val="false"/>
          <w:iCs w:val="false"/>
          <w:sz w:val="20"/>
          <w:szCs w:val="20"/>
        </w:rPr>
        <w:t xml:space="preserve">Any individual covered by this policy who has a direct or indirect financial, personal, or business interest related to a matter before the Corporation.</w:t>
      </w:r>
    </w:p>
    <w:p>
      <w:pPr>
        <w:pStyle w:val="Heading2"/>
        <w:spacing w:after="120" w:before="240"/>
      </w:pPr>
      <w:r>
        <w:rPr>
          <w:b/>
          <w:bCs/>
          <w:color w:val="1E5631"/>
          <w:sz w:val="24"/>
          <w:szCs w:val="24"/>
        </w:rPr>
        <w:t xml:space="preserve">Financial Interest</w:t>
      </w:r>
    </w:p>
    <w:p>
      <w:pPr>
        <w:spacing w:after="160"/>
      </w:pPr>
      <w:r>
        <w:rPr>
          <w:b w:val="false"/>
          <w:bCs w:val="false"/>
          <w:i w:val="false"/>
          <w:iCs w:val="false"/>
          <w:sz w:val="20"/>
          <w:szCs w:val="20"/>
        </w:rPr>
        <w:t xml:space="preserve">A person has a financial interest if the person, or a family member, has a compensation arrangement, ownership/investment interest, or expectation of financial benefit related to the Corporation.</w:t>
      </w:r>
    </w:p>
    <w:p>
      <w:pPr>
        <w:pStyle w:val="Heading1"/>
        <w:spacing w:after="140" w:before="280"/>
      </w:pPr>
      <w:r>
        <w:rPr>
          <w:b/>
          <w:bCs/>
          <w:color w:val="1E5631"/>
          <w:sz w:val="26"/>
          <w:szCs w:val="26"/>
        </w:rPr>
        <w:t xml:space="preserve">Article IV — Duty to Disclose</w:t>
      </w:r>
    </w:p>
    <w:p>
      <w:pPr>
        <w:spacing w:after="160"/>
      </w:pPr>
      <w:r>
        <w:rPr>
          <w:b w:val="false"/>
          <w:bCs w:val="false"/>
          <w:i w:val="false"/>
          <w:iCs w:val="false"/>
          <w:sz w:val="20"/>
          <w:szCs w:val="20"/>
        </w:rPr>
        <w:t xml:space="preserve">Each covered individual has an affirmative duty to disclose any actual, potential, or perceived conflict before discussion begins, before a vote occurs, or as soon as the conflict becomes known.</w:t>
      </w:r>
    </w:p>
    <w:p>
      <w:pPr>
        <w:pStyle w:val="Heading1"/>
        <w:spacing w:after="140" w:before="280"/>
      </w:pPr>
      <w:r>
        <w:rPr>
          <w:b/>
          <w:bCs/>
          <w:color w:val="1E5631"/>
          <w:sz w:val="26"/>
          <w:szCs w:val="26"/>
        </w:rPr>
        <w:t xml:space="preserve">Article V — Procedures</w:t>
      </w:r>
    </w:p>
    <w:p>
      <w:pPr>
        <w:spacing w:after="160"/>
      </w:pPr>
      <w:r>
        <w:rPr>
          <w:b w:val="false"/>
          <w:bCs w:val="false"/>
          <w:i w:val="false"/>
          <w:iCs w:val="false"/>
          <w:sz w:val="20"/>
          <w:szCs w:val="20"/>
        </w:rPr>
        <w:t xml:space="preserve">After disclosure, the remaining disinterested Directors shall determine whether a conflict exists. The interested person shall refrain from voting, refrain from influencing the vote, and leave the room during discussion if requested.</w:t>
      </w:r>
    </w:p>
    <w:p>
      <w:pPr>
        <w:pStyle w:val="Heading1"/>
        <w:spacing w:after="140" w:before="280"/>
      </w:pPr>
      <w:r>
        <w:rPr>
          <w:b/>
          <w:bCs/>
          <w:color w:val="1E5631"/>
          <w:sz w:val="26"/>
          <w:szCs w:val="26"/>
        </w:rPr>
        <w:t xml:space="preserve">Article VI — Compensation Matters</w:t>
      </w:r>
    </w:p>
    <w:p>
      <w:pPr>
        <w:spacing w:after="160"/>
      </w:pPr>
      <w:r>
        <w:rPr>
          <w:b w:val="false"/>
          <w:bCs w:val="false"/>
          <w:i w:val="false"/>
          <w:iCs w:val="false"/>
          <w:sz w:val="20"/>
          <w:szCs w:val="20"/>
        </w:rPr>
        <w:t xml:space="preserve">Any compensation decision involving a Director, Officer, founder, or related party shall be reviewed by disinterested Directors, supported by reasonable justification, approved prior to payment whenever possible, and documented in meeting minutes.</w:t>
      </w:r>
    </w:p>
    <w:p>
      <w:pPr>
        <w:pStyle w:val="Heading1"/>
        <w:spacing w:after="140" w:before="280"/>
      </w:pPr>
      <w:r>
        <w:rPr>
          <w:b/>
          <w:bCs/>
          <w:color w:val="1E5631"/>
          <w:sz w:val="26"/>
          <w:szCs w:val="26"/>
        </w:rPr>
        <w:t xml:space="preserve">Article VII — Record of Proceedings</w:t>
      </w:r>
    </w:p>
    <w:p>
      <w:pPr>
        <w:spacing w:after="160"/>
      </w:pPr>
      <w:r>
        <w:rPr>
          <w:b w:val="false"/>
          <w:bCs w:val="false"/>
          <w:i w:val="false"/>
          <w:iCs w:val="false"/>
          <w:sz w:val="20"/>
          <w:szCs w:val="20"/>
        </w:rPr>
        <w:t xml:space="preserve">Minutes involving conflicts of interest shall record the name of the interested person, nature of the conflict, discussion participants, alternatives considered, voting results, and final determination.</w:t>
      </w:r>
    </w:p>
    <w:p>
      <w:pPr>
        <w:pStyle w:val="Heading1"/>
        <w:spacing w:after="140" w:before="280"/>
      </w:pPr>
      <w:r>
        <w:rPr>
          <w:b/>
          <w:bCs/>
          <w:color w:val="1E5631"/>
          <w:sz w:val="26"/>
          <w:szCs w:val="26"/>
        </w:rPr>
        <w:t xml:space="preserve">Article VIII — Violations &amp; Confidentiality</w:t>
      </w:r>
    </w:p>
    <w:p>
      <w:pPr>
        <w:spacing w:after="160"/>
      </w:pPr>
      <w:r>
        <w:rPr>
          <w:b w:val="false"/>
          <w:bCs w:val="false"/>
          <w:i w:val="false"/>
          <w:iCs w:val="false"/>
          <w:sz w:val="20"/>
          <w:szCs w:val="20"/>
        </w:rPr>
        <w:t xml:space="preserve">Suspected non-disclosure shall be investigated per Board procedure; corrective action may include written warning or removal from position. Disclosed information shall be kept confidential to the extent practical and permitted by law.</w:t>
      </w:r>
    </w:p>
    <w:p>
      <w:pPr>
        <w:pStyle w:val="Heading1"/>
        <w:spacing w:after="140" w:before="280"/>
      </w:pPr>
      <w:r>
        <w:rPr>
          <w:b/>
          <w:bCs/>
          <w:color w:val="1E5631"/>
          <w:sz w:val="26"/>
          <w:szCs w:val="26"/>
        </w:rPr>
        <w:t xml:space="preserve">Article IX — Annual Disclosure</w:t>
      </w:r>
    </w:p>
    <w:p>
      <w:pPr>
        <w:spacing w:after="300"/>
      </w:pPr>
      <w:r>
        <w:rPr>
          <w:b w:val="false"/>
          <w:bCs w:val="false"/>
          <w:i w:val="false"/>
          <w:iCs w:val="false"/>
          <w:sz w:val="20"/>
          <w:szCs w:val="20"/>
        </w:rPr>
        <w:t xml:space="preserve">Each Director and Officer shall annually complete and sign a Conflict of Interest Disclosure Statement, maintained with the Corporation's official records.</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Conflict of Interest Policy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2026-08-19T20:17:22.080Z</dcterms:created>
  <dcterms:modified xsi:type="dcterms:W3CDTF">2026-08-19T20:17:22.080Z</dcterms:modified>
</cp:coreProperties>
</file>

<file path=docProps/custom.xml><?xml version="1.0" encoding="utf-8"?>
<Properties xmlns="http://schemas.openxmlformats.org/officeDocument/2006/custom-properties" xmlns:vt="http://schemas.openxmlformats.org/officeDocument/2006/docPropsVTypes"/>
</file>