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WHISTLEBLOWER POLICY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ADOPTION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Adopted: ________________________________________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Corporation requires directors, officers, employees, volunteers, and contractors to observe high standards of business and personal ethics. This policy provides a mechanism for reporting suspected illegal, unethical, or improper conduct and protects individuals who make good-faith reports from retaliation.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2. Reportable Conduct</w:t>
      </w:r>
    </w:p>
    <w:p>
      <w:pPr>
        <w:spacing w:after="100"/>
      </w:pPr>
      <w:r>
        <w:rPr>
          <w:sz w:val="20"/>
          <w:szCs w:val="20"/>
        </w:rPr>
        <w:t xml:space="preserve">•  Fraud, theft, or financial misconduct</w:t>
      </w:r>
    </w:p>
    <w:p>
      <w:pPr>
        <w:spacing w:after="100"/>
      </w:pPr>
      <w:r>
        <w:rPr>
          <w:sz w:val="20"/>
          <w:szCs w:val="20"/>
        </w:rPr>
        <w:t xml:space="preserve">•  Violations of law or regulation</w:t>
      </w:r>
    </w:p>
    <w:p>
      <w:pPr>
        <w:spacing w:after="100"/>
      </w:pPr>
      <w:r>
        <w:rPr>
          <w:sz w:val="20"/>
          <w:szCs w:val="20"/>
        </w:rPr>
        <w:t xml:space="preserve">•  Violations of the Conflict of Interest Policy or Code of Ethics Policy</w:t>
      </w:r>
    </w:p>
    <w:p>
      <w:pPr>
        <w:spacing w:after="100"/>
      </w:pPr>
      <w:r>
        <w:rPr>
          <w:sz w:val="20"/>
          <w:szCs w:val="20"/>
        </w:rPr>
        <w:t xml:space="preserve">•  Misuse of Corporation resources, grants, or donations</w:t>
      </w:r>
    </w:p>
    <w:p>
      <w:pPr>
        <w:spacing w:after="100"/>
      </w:pPr>
      <w:r>
        <w:rPr>
          <w:sz w:val="20"/>
          <w:szCs w:val="20"/>
        </w:rPr>
        <w:t xml:space="preserve">•  Danger to health, safety, or the environment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3. Reporting Procedure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Reports may be made to the Chairperson, Secretary, or any disinterested Director, verbally or in writing. Reports involving the Chairperson shall be directed to the Vice Chairperson.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4. No Retaliation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Corporation prohibits retaliation against any individual who reports a concern in good faith, even if the concern is later found to be unsubstantiated. Retaliation is grounds for disciplinary action, up to and including removal.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5. Confidentiality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Reports shall be handled discreetly, with the identity of the reporting individual disclosed only as necessary to conduct an adequate investigation.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6. Investigation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Board, or a committee it designates, shall promptly investigate all reports and document findings and any corrective action taken.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Whistleblower Policy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2026-08-19T20:17:22.208Z</dcterms:created>
  <dcterms:modified xsi:type="dcterms:W3CDTF">2026-08-19T20:17:22.208Z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