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FINANCIAL CONTROLS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policy establishes internal financial controls to safeguard assets, ensure accurate financial reporting, and maintain donor and public confidence, in furtherance of the Organization's tax-exempt status.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Spending Authority Levels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Expenditure Amount</w:t>
            </w:r>
          </w:p>
        </w:tc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Up to $500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Executive Director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$500.01 – $1,000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Executive Director + Treasurer sign-off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$1,000.01 – $5,000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Board approval (may be via written consent)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Over $5,000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Board resolution at a scheduled or special meeting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Bank Accounts &amp; Signers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Organization bank accounts shall be opened and maintained only pursuant to a Board-approved Banking Resolution. No fewer than two authorized signers shall be designated by the Board at all times. Single-signer authority shall not exceed the spending authority levels above without a co-signature or prior Board approval.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Reimbursement Procedures</w:t>
      </w:r>
    </w:p>
    <w:p>
      <w:pPr>
        <w:spacing w:after="100"/>
      </w:pPr>
      <w:r>
        <w:rPr>
          <w:sz w:val="20"/>
          <w:szCs w:val="20"/>
        </w:rPr>
        <w:t xml:space="preserve">•  All reimbursement requests must be submitted with original receipts</w:t>
      </w:r>
    </w:p>
    <w:p>
      <w:pPr>
        <w:spacing w:after="100"/>
      </w:pPr>
      <w:r>
        <w:rPr>
          <w:sz w:val="20"/>
          <w:szCs w:val="20"/>
        </w:rPr>
        <w:t xml:space="preserve">•  Requests must be submitted within 30 days of the expense</w:t>
      </w:r>
    </w:p>
    <w:p>
      <w:pPr>
        <w:spacing w:after="100"/>
      </w:pPr>
      <w:r>
        <w:rPr>
          <w:sz w:val="20"/>
          <w:szCs w:val="20"/>
        </w:rPr>
        <w:t xml:space="preserve">•  Reimbursements are approved per the spending authority levels above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Financial Reporting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Treasurer shall present a financial report at each regular Board meeting, including a summary of income, expenses, and account balances.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Financial Controls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2026-08-19T20:17:22.257Z</dcterms:created>
  <dcterms:modified xsi:type="dcterms:W3CDTF">2026-08-19T20:17:22.257Z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