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color w:val="1E5631"/>
          <w:sz w:val="24"/>
          <w:szCs w:val="24"/>
        </w:rPr>
        <w:t xml:space="preserve">AGHF INC.</w:t>
      </w:r>
    </w:p>
    <w:p>
      <w:pPr>
        <w:spacing w:after="160"/>
        <w:jc w:val="center"/>
      </w:pPr>
      <w:r>
        <w:rPr>
          <w:i/>
          <w:iCs/>
          <w:color w:val="1E5631"/>
          <w:sz w:val="20"/>
          <w:szCs w:val="20"/>
        </w:rPr>
        <w:t xml:space="preserve">d/b/a AgroHouse Foundation</w:t>
      </w:r>
    </w:p>
    <w:p>
      <w:pPr>
        <w:pBdr>
          <w:bottom w:val="single" w:color="C9A227" w:sz="12" w:space="8"/>
        </w:pBdr>
        <w:spacing w:after="200"/>
        <w:jc w:val="center"/>
      </w:pPr>
      <w:r>
        <w:rPr>
          <w:b/>
          <w:bCs/>
          <w:color w:val="1E5631"/>
          <w:sz w:val="30"/>
          <w:szCs w:val="30"/>
        </w:rPr>
        <w:t xml:space="preserve">RECORD RETENTION &amp; DOCUMENT DESTRUCTION POLICY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AGHF Inc. d/b/a AgroHouse Foundation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TEMPLATE — FOR BOARD ADOPTION</w:t>
      </w:r>
    </w:p>
    <w:p>
      <w:pPr>
        <w:spacing w:after="320"/>
        <w:jc w:val="center"/>
      </w:pPr>
      <w:r>
        <w:rPr>
          <w:i/>
          <w:iCs/>
          <w:color w:val="C9A227"/>
          <w:sz w:val="18"/>
          <w:szCs w:val="18"/>
        </w:rPr>
        <w:t xml:space="preserve">Stability • Structure • Growth • Community</w:t>
      </w:r>
    </w:p>
    <w:p>
      <w:pPr>
        <w:spacing w:after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Adopted: ________________________________________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1. Purpose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This policy establishes guidelines for the retention and destruction of Corporation records and ensures compliance with applicable federal and Florida law, including record-retention obligations associated with 501(c)(3) tax-exempt status.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2. Legal Hold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No document shall be destroyed or deleted if it is subject to a pending or reasonably anticipated litigation hold, audit, or government investigation. The Chairperson and Secretary are responsible for suspending destruction of relevant records upon notice of such a hold.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3. Retention Schedule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Record Category</w:t>
            </w:r>
          </w:p>
        </w:tc>
        <w:tc>
          <w:tcPr>
            <w:tcW w:type="dxa" w:w="48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Retention Period</w:t>
            </w:r>
          </w:p>
        </w:tc>
      </w:tr>
      <w:tr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Articles of Incorporation, Bylaws, and amendments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Permanent</w:t>
            </w:r>
          </w:p>
        </w:tc>
      </w:tr>
      <w:tr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Board meeting minutes and resolutions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Permanent</w:t>
            </w:r>
          </w:p>
        </w:tc>
      </w:tr>
      <w:tr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IRS determination letters and Form 1023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Permanent</w:t>
            </w:r>
          </w:p>
        </w:tc>
      </w:tr>
      <w:tr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Annual financial statements / Form 990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Permanent</w:t>
            </w:r>
          </w:p>
        </w:tc>
      </w:tr>
      <w:tr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Employment records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7 years after termination</w:t>
            </w:r>
          </w:p>
        </w:tc>
      </w:tr>
      <w:tr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Donor records and acknowledgment letters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7 years</w:t>
            </w:r>
          </w:p>
        </w:tc>
      </w:tr>
      <w:tr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Bank statements and reconciliations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7 years</w:t>
            </w:r>
          </w:p>
        </w:tc>
      </w:tr>
      <w:tr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General correspondence</w:t>
            </w:r>
          </w:p>
        </w:tc>
        <w:tc>
          <w:tcPr>
            <w:tcW w:type="dxa" w:w="4800"/>
          </w:tcPr>
          <w:p>
            <w:r>
              <w:rPr>
                <w:sz w:val="20"/>
                <w:szCs w:val="20"/>
              </w:rPr>
              <w:t xml:space="preserve">3 years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4. Destruction Procedure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Records eligible for destruction shall be destroyed securely (shredding for paper, secure deletion for electronic files) and logged by the Secretary.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X ________________________________________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[Name], Chairperson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Date: ________________________________________</w:t>
      </w:r>
    </w:p>
    <w:p>
      <w:pPr>
        <w:pBdr>
          <w:top w:val="single" w:color="999999" w:sz="4" w:space="6"/>
        </w:pBdr>
        <w:spacing w:before="300"/>
        <w:jc w:val="center"/>
      </w:pPr>
      <w:r>
        <w:rPr>
          <w:color w:val="666666"/>
          <w:sz w:val="16"/>
          <w:szCs w:val="16"/>
        </w:rPr>
        <w:t xml:space="preserve">AGHF Inc. d/b/a AgroHouse Foundation™ — Record Retention &amp; Document Destruction Policy —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2026-08-19T20:17:56.117Z</dcterms:created>
  <dcterms:modified xsi:type="dcterms:W3CDTF">2026-08-19T20:17:56.118Z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