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CODE OF ETHICS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Code of Ethics Policy establishes the standards of conduct expected of all directors, officers, employees, volunteers, and contractors, in furtherance of the Corporation's mission and its obligations as a 501(c)(3) public charity.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2. Core Principles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covered individuals shall act in accordance with the Corporation's core values:</w:t>
      </w:r>
    </w:p>
    <w:p>
      <w:pPr>
        <w:spacing w:after="100"/>
      </w:pPr>
      <w:r>
        <w:rPr>
          <w:sz w:val="20"/>
          <w:szCs w:val="20"/>
        </w:rPr>
        <w:t xml:space="preserve">•  Stability — creating reliable systems that communities can depend upon</w:t>
      </w:r>
    </w:p>
    <w:p>
      <w:pPr>
        <w:spacing w:after="100"/>
      </w:pPr>
      <w:r>
        <w:rPr>
          <w:sz w:val="20"/>
          <w:szCs w:val="20"/>
        </w:rPr>
        <w:t xml:space="preserve">•  Sustainability — building long-term solutions rather than temporary responses</w:t>
      </w:r>
    </w:p>
    <w:p>
      <w:pPr>
        <w:spacing w:after="100"/>
      </w:pPr>
      <w:r>
        <w:rPr>
          <w:sz w:val="20"/>
          <w:szCs w:val="20"/>
        </w:rPr>
        <w:t xml:space="preserve">•  Stewardship — managing resources responsibly, ethically, and transparently</w:t>
      </w:r>
    </w:p>
    <w:p>
      <w:pPr>
        <w:spacing w:after="100"/>
      </w:pPr>
      <w:r>
        <w:rPr>
          <w:sz w:val="20"/>
          <w:szCs w:val="20"/>
        </w:rPr>
        <w:t xml:space="preserve">•  Community — working alongside existing organizations and community partners</w:t>
      </w:r>
    </w:p>
    <w:p>
      <w:pPr>
        <w:spacing w:after="100"/>
      </w:pPr>
      <w:r>
        <w:rPr>
          <w:sz w:val="20"/>
          <w:szCs w:val="20"/>
        </w:rPr>
        <w:t xml:space="preserve">•  Opportunity — creating pathways for growth, education, employment, and self-sufficiency</w:t>
      </w:r>
    </w:p>
    <w:p>
      <w:pPr>
        <w:spacing w:after="100"/>
      </w:pPr>
      <w:r>
        <w:rPr>
          <w:sz w:val="20"/>
          <w:szCs w:val="20"/>
        </w:rPr>
        <w:t xml:space="preserve">•  Dignity — serving individuals with respect while preserving personal choice and self-worth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3. Standards of Conduct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Covered individuals shall act honestly and in good faith, comply with applicable law, avoid conflicts of interest, safeguard confidential information, and represent the Corporation professionally in all public and donor-facing communications.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4. Reporting Violations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Suspected violations of this Code shall be reported per the Whistleblower Policy.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Code of Ethics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2026-08-19T20:17:56.161Z</dcterms:created>
  <dcterms:modified xsi:type="dcterms:W3CDTF">2026-08-19T20:17:56.161Z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