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after="0" w:before="120"/>
        <w:jc w:val="center"/>
      </w:pPr>
      <w:r>
        <w:rPr>
          <w:b/>
          <w:bCs/>
          <w:color w:val="1E5631"/>
          <w:sz w:val="24"/>
          <w:szCs w:val="24"/>
        </w:rPr>
        <w:t xml:space="preserve">AGHF INC.</w:t>
      </w:r>
    </w:p>
    <w:p>
      <w:pPr>
        <w:spacing w:after="160"/>
        <w:jc w:val="center"/>
      </w:pPr>
      <w:r>
        <w:rPr>
          <w:i/>
          <w:iCs/>
          <w:color w:val="1E5631"/>
          <w:sz w:val="20"/>
          <w:szCs w:val="20"/>
        </w:rPr>
        <w:t xml:space="preserve">d/b/a AgroHouse Foundation</w:t>
      </w:r>
    </w:p>
    <w:p>
      <w:pPr>
        <w:pBdr>
          <w:bottom w:val="single" w:color="C9A227" w:sz="12" w:space="8"/>
        </w:pBdr>
        <w:spacing w:after="200"/>
        <w:jc w:val="center"/>
      </w:pPr>
      <w:r>
        <w:rPr>
          <w:b/>
          <w:bCs/>
          <w:color w:val="1E5631"/>
          <w:sz w:val="30"/>
          <w:szCs w:val="30"/>
        </w:rPr>
        <w:t xml:space="preserve">BOARD RECRUITMENT &amp; SUCCESSION POLICY</w:t>
      </w:r>
    </w:p>
    <w:p>
      <w:pPr>
        <w:spacing w:after="80"/>
        <w:jc w:val="center"/>
      </w:pPr>
      <w:r>
        <w:rPr>
          <w:i/>
          <w:iCs/>
          <w:sz w:val="20"/>
          <w:szCs w:val="20"/>
        </w:rPr>
        <w:t xml:space="preserve">AGHF Inc. d/b/a AgroHouse Foundation</w:t>
      </w:r>
    </w:p>
    <w:p>
      <w:pPr>
        <w:spacing w:after="80"/>
        <w:jc w:val="center"/>
      </w:pPr>
      <w:r>
        <w:rPr>
          <w:b/>
          <w:bCs/>
          <w:sz w:val="18"/>
          <w:szCs w:val="18"/>
        </w:rPr>
        <w:t xml:space="preserve">TEMPLATE — FOR BOARD ADOPTION</w:t>
      </w:r>
    </w:p>
    <w:p>
      <w:pPr>
        <w:spacing w:after="320"/>
        <w:jc w:val="center"/>
      </w:pPr>
      <w:r>
        <w:rPr>
          <w:i/>
          <w:iCs/>
          <w:color w:val="C9A227"/>
          <w:sz w:val="18"/>
          <w:szCs w:val="18"/>
        </w:rPr>
        <w:t xml:space="preserve">Stability • Structure • Growth • Community</w:t>
      </w:r>
    </w:p>
    <w:p>
      <w:pPr>
        <w:spacing w:after="260"/>
      </w:pPr>
      <w:r>
        <w:rPr>
          <w:b w:val="false"/>
          <w:bCs w:val="false"/>
          <w:i w:val="false"/>
          <w:iCs w:val="false"/>
          <w:sz w:val="20"/>
          <w:szCs w:val="20"/>
        </w:rPr>
        <w:t xml:space="preserve">Adopted: ________________________________________</w:t>
      </w:r>
    </w:p>
    <w:p>
      <w:pPr>
        <w:pStyle w:val="Heading1"/>
        <w:spacing w:after="140" w:before="280"/>
      </w:pPr>
      <w:r>
        <w:rPr>
          <w:b/>
          <w:bCs/>
          <w:color w:val="1E5631"/>
          <w:sz w:val="26"/>
          <w:szCs w:val="26"/>
        </w:rPr>
        <w:t xml:space="preserve">1. Purpose</w:t>
      </w:r>
    </w:p>
    <w:p>
      <w:pPr>
        <w:spacing w:after="160"/>
      </w:pPr>
      <w:r>
        <w:rPr>
          <w:b w:val="false"/>
          <w:bCs w:val="false"/>
          <w:i w:val="false"/>
          <w:iCs w:val="false"/>
          <w:sz w:val="20"/>
          <w:szCs w:val="20"/>
        </w:rPr>
        <w:t xml:space="preserve">This policy guides the Corporation's approach to Board growth, officer succession, and filling Board vacancies, to ensure continuity of governance and mission alignment.</w:t>
      </w:r>
    </w:p>
    <w:p>
      <w:pPr>
        <w:pStyle w:val="Heading1"/>
        <w:spacing w:after="140" w:before="280"/>
      </w:pPr>
      <w:r>
        <w:rPr>
          <w:b/>
          <w:bCs/>
          <w:color w:val="1E5631"/>
          <w:sz w:val="26"/>
          <w:szCs w:val="26"/>
        </w:rPr>
        <w:t xml:space="preserve">2. Board Composition Goals</w:t>
      </w:r>
    </w:p>
    <w:p>
      <w:pPr>
        <w:spacing w:after="160"/>
      </w:pPr>
      <w:r>
        <w:rPr>
          <w:b w:val="false"/>
          <w:bCs w:val="false"/>
          <w:i w:val="false"/>
          <w:iCs w:val="false"/>
          <w:sz w:val="20"/>
          <w:szCs w:val="20"/>
        </w:rPr>
        <w:t xml:space="preserve">The Board shall seek Directors with diverse skills relevant to the organization's needs, including finance, fundraising, legal, agriculture, and community relations, consistent with the Bylaws' requirement of not fewer than four and not more than eleven Directors.</w:t>
      </w:r>
    </w:p>
    <w:p>
      <w:pPr>
        <w:pStyle w:val="Heading1"/>
        <w:spacing w:after="140" w:before="280"/>
      </w:pPr>
      <w:r>
        <w:rPr>
          <w:b/>
          <w:bCs/>
          <w:color w:val="1E5631"/>
          <w:sz w:val="26"/>
          <w:szCs w:val="26"/>
        </w:rPr>
        <w:t xml:space="preserve">3. Recruitment Process</w:t>
      </w:r>
    </w:p>
    <w:p>
      <w:pPr>
        <w:spacing w:after="160"/>
      </w:pPr>
      <w:r>
        <w:rPr>
          <w:b w:val="false"/>
          <w:bCs w:val="false"/>
          <w:i w:val="false"/>
          <w:iCs w:val="false"/>
          <w:sz w:val="20"/>
          <w:szCs w:val="20"/>
        </w:rPr>
        <w:t xml:space="preserve">Prospective Directors shall be identified by current Directors, complete an informational interview with the Chairperson, and be presented to the full Board for a vote, consistent with Bylaws Article V.</w:t>
      </w:r>
    </w:p>
    <w:p>
      <w:pPr>
        <w:pStyle w:val="Heading1"/>
        <w:spacing w:after="140" w:before="280"/>
      </w:pPr>
      <w:r>
        <w:rPr>
          <w:b/>
          <w:bCs/>
          <w:color w:val="1E5631"/>
          <w:sz w:val="26"/>
          <w:szCs w:val="26"/>
        </w:rPr>
        <w:t xml:space="preserve">4. Officer Succession</w:t>
      </w:r>
    </w:p>
    <w:p>
      <w:pPr>
        <w:spacing w:after="160"/>
      </w:pPr>
      <w:r>
        <w:rPr>
          <w:b w:val="false"/>
          <w:bCs w:val="false"/>
          <w:i w:val="false"/>
          <w:iCs w:val="false"/>
          <w:sz w:val="20"/>
          <w:szCs w:val="20"/>
        </w:rPr>
        <w:t xml:space="preserve">Officer positions shall be reviewed annually. The Vice Chairperson is the presumptive successor to the Chairperson in the event of a vacancy, subject to Board vote.</w:t>
      </w:r>
    </w:p>
    <w:p>
      <w:pPr>
        <w:pStyle w:val="Heading1"/>
        <w:spacing w:after="140" w:before="280"/>
      </w:pPr>
      <w:r>
        <w:rPr>
          <w:b/>
          <w:bCs/>
          <w:color w:val="1E5631"/>
          <w:sz w:val="26"/>
          <w:szCs w:val="26"/>
        </w:rPr>
        <w:t xml:space="preserve">5. Vacancies</w:t>
      </w:r>
    </w:p>
    <w:p>
      <w:pPr>
        <w:spacing w:after="300"/>
      </w:pPr>
      <w:r>
        <w:rPr>
          <w:b w:val="false"/>
          <w:bCs w:val="false"/>
          <w:i w:val="false"/>
          <w:iCs w:val="false"/>
          <w:sz w:val="20"/>
          <w:szCs w:val="20"/>
        </w:rPr>
        <w:t xml:space="preserve">Board vacancies shall be filled by majority vote of the remaining Directors, per Bylaws Article V, Section 6.</w:t>
      </w:r>
    </w:p>
    <w:p>
      <w:pPr>
        <w:spacing w:after="20"/>
      </w:pPr>
      <w:r>
        <w:rPr>
          <w:b w:val="false"/>
          <w:bCs w:val="false"/>
          <w:i w:val="false"/>
          <w:iCs w:val="false"/>
          <w:sz w:val="20"/>
          <w:szCs w:val="20"/>
        </w:rPr>
        <w:t xml:space="preserve">X ________________________________________</w:t>
      </w:r>
    </w:p>
    <w:p>
      <w:pPr>
        <w:spacing w:after="20"/>
      </w:pPr>
      <w:r>
        <w:rPr>
          <w:b w:val="false"/>
          <w:bCs w:val="false"/>
          <w:i w:val="false"/>
          <w:iCs w:val="false"/>
          <w:sz w:val="20"/>
          <w:szCs w:val="20"/>
        </w:rPr>
        <w:t xml:space="preserve">[Name], Chairperson</w:t>
      </w:r>
    </w:p>
    <w:p>
      <w:pPr>
        <w:spacing w:after="300"/>
      </w:pPr>
      <w:r>
        <w:rPr>
          <w:b w:val="false"/>
          <w:bCs w:val="false"/>
          <w:i w:val="false"/>
          <w:iCs w:val="false"/>
          <w:sz w:val="20"/>
          <w:szCs w:val="20"/>
        </w:rPr>
        <w:t xml:space="preserve">Date: ________________________________________</w:t>
      </w:r>
    </w:p>
    <w:p>
      <w:pPr>
        <w:pBdr>
          <w:top w:val="single" w:color="999999" w:sz="4" w:space="6"/>
        </w:pBdr>
        <w:spacing w:before="300"/>
        <w:jc w:val="center"/>
      </w:pPr>
      <w:r>
        <w:rPr>
          <w:color w:val="666666"/>
          <w:sz w:val="16"/>
          <w:szCs w:val="16"/>
        </w:rPr>
        <w:t xml:space="preserve">AGHF Inc. d/b/a AgroHouse Foundation™ — Board Recruitment &amp; Succession Policy — TEMPLATE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e57656b7076b9525340e8ef023eedcce8cdb52.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2026-08-19T20:17:56.196Z</dcterms:created>
  <dcterms:modified xsi:type="dcterms:W3CDTF">2026-08-19T20:17:56.196Z</dcterms:modified>
</cp:coreProperties>
</file>

<file path=docProps/custom.xml><?xml version="1.0" encoding="utf-8"?>
<Properties xmlns="http://schemas.openxmlformats.org/officeDocument/2006/custom-properties" xmlns:vt="http://schemas.openxmlformats.org/officeDocument/2006/docPropsVTypes"/>
</file>