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0"/>
          <w:szCs w:val="30"/>
        </w:rPr>
        <w:t xml:space="preserve">BYLAWS</w:t>
      </w:r>
    </w:p>
    <w:p>
      <w:pPr>
        <w:spacing w:after="80"/>
        <w:jc w:val="center"/>
      </w:pPr>
      <w:r>
        <w:rPr>
          <w:i/>
          <w:iCs/>
          <w:sz w:val="20"/>
          <w:szCs w:val="20"/>
        </w:rPr>
        <w:t xml:space="preserve">AGHF Inc. d/b/a AgroHouse Foundation</w:t>
      </w:r>
    </w:p>
    <w:p>
      <w:pPr>
        <w:spacing w:after="80"/>
        <w:jc w:val="center"/>
      </w:pPr>
      <w:r>
        <w:rPr>
          <w:b/>
          <w:bCs/>
          <w:sz w:val="18"/>
          <w:szCs w:val="18"/>
        </w:rPr>
        <w:t xml:space="preserve">TEMPLATE — FOR BOARD ADOPTION / AMENDMENT</w:t>
      </w:r>
    </w:p>
    <w:p>
      <w:pPr>
        <w:spacing w:after="320"/>
        <w:jc w:val="center"/>
      </w:pPr>
      <w:r>
        <w:rPr>
          <w:i/>
          <w:iCs/>
          <w:color w:val="C9A227"/>
          <w:sz w:val="18"/>
          <w:szCs w:val="18"/>
        </w:rPr>
        <w:t xml:space="preserve">Stability • Structure • Growth • Community</w:t>
      </w:r>
    </w:p>
    <w:p>
      <w:pPr>
        <w:pStyle w:val="Heading1"/>
        <w:spacing w:after="140" w:before="280"/>
      </w:pPr>
      <w:r>
        <w:rPr>
          <w:b/>
          <w:bCs/>
          <w:color w:val="1E5631"/>
          <w:sz w:val="26"/>
          <w:szCs w:val="26"/>
        </w:rPr>
        <w:t xml:space="preserve">Article I — Name</w:t>
      </w:r>
    </w:p>
    <w:p>
      <w:pPr>
        <w:spacing w:after="160"/>
      </w:pPr>
      <w:r>
        <w:rPr>
          <w:b w:val="false"/>
          <w:bCs w:val="false"/>
          <w:i w:val="false"/>
          <w:iCs w:val="false"/>
          <w:sz w:val="20"/>
          <w:szCs w:val="20"/>
        </w:rPr>
        <w:t xml:space="preserve">The name of this corporation shall be AGHF Inc. The corporation may conduct business under the trade name AgroHouse Foundation.</w:t>
      </w:r>
    </w:p>
    <w:p>
      <w:pPr>
        <w:pStyle w:val="Heading1"/>
        <w:spacing w:after="140" w:before="280"/>
      </w:pPr>
      <w:r>
        <w:rPr>
          <w:b/>
          <w:bCs/>
          <w:color w:val="1E5631"/>
          <w:sz w:val="26"/>
          <w:szCs w:val="26"/>
        </w:rPr>
        <w:t xml:space="preserve">Article II — Purpose</w:t>
      </w:r>
    </w:p>
    <w:p>
      <w:pPr>
        <w:spacing w:after="160"/>
      </w:pPr>
      <w:r>
        <w:rPr>
          <w:b w:val="false"/>
          <w:bCs w:val="false"/>
          <w:i w:val="false"/>
          <w:iCs w:val="false"/>
          <w:sz w:val="20"/>
          <w:szCs w:val="20"/>
        </w:rPr>
        <w:t xml:space="preserve">AGHF Inc. is organized exclusively for charitable and educational purposes under Section 501(c)(3) of the Internal Revenue Code, to provide community outreach and stabilization services, coordinate charitable assistance through partnerships, and promote self-sufficiency and community engagement.</w:t>
      </w:r>
    </w:p>
    <w:p>
      <w:pPr>
        <w:pStyle w:val="Heading1"/>
        <w:spacing w:after="140" w:before="280"/>
      </w:pPr>
      <w:r>
        <w:rPr>
          <w:b/>
          <w:bCs/>
          <w:color w:val="1E5631"/>
          <w:sz w:val="26"/>
          <w:szCs w:val="26"/>
        </w:rPr>
        <w:t xml:space="preserve">Article III — Mission</w:t>
      </w:r>
    </w:p>
    <w:p>
      <w:pPr>
        <w:spacing w:after="160"/>
      </w:pPr>
      <w:r>
        <w:rPr>
          <w:b w:val="false"/>
          <w:bCs w:val="false"/>
          <w:i w:val="false"/>
          <w:iCs w:val="false"/>
          <w:sz w:val="20"/>
          <w:szCs w:val="20"/>
        </w:rPr>
        <w:t xml:space="preserve">The mission of AgroHouse Foundation is to strengthen individuals, families, and communities through outreach, resource coordination, community partnerships, and supportive services that promote stability and self-sufficiency.</w:t>
      </w:r>
    </w:p>
    <w:p>
      <w:pPr>
        <w:pStyle w:val="Heading1"/>
        <w:spacing w:after="140" w:before="280"/>
      </w:pPr>
      <w:r>
        <w:rPr>
          <w:b/>
          <w:bCs/>
          <w:color w:val="1E5631"/>
          <w:sz w:val="26"/>
          <w:szCs w:val="26"/>
        </w:rPr>
        <w:t xml:space="preserve">Article IV — Principal Office</w:t>
      </w:r>
    </w:p>
    <w:p>
      <w:pPr>
        <w:spacing w:after="160"/>
      </w:pPr>
      <w:r>
        <w:rPr>
          <w:b w:val="false"/>
          <w:bCs w:val="false"/>
          <w:i w:val="false"/>
          <w:iCs w:val="false"/>
          <w:sz w:val="20"/>
          <w:szCs w:val="20"/>
        </w:rPr>
        <w:t xml:space="preserve">The principal office of the Corporation shall be located in the State of Florida.</w:t>
      </w:r>
    </w:p>
    <w:p>
      <w:pPr>
        <w:pStyle w:val="Heading1"/>
        <w:spacing w:after="140" w:before="280"/>
      </w:pPr>
      <w:r>
        <w:rPr>
          <w:b/>
          <w:bCs/>
          <w:color w:val="1E5631"/>
          <w:sz w:val="26"/>
          <w:szCs w:val="26"/>
        </w:rPr>
        <w:t xml:space="preserve">Article V — Board of Directors</w:t>
      </w:r>
    </w:p>
    <w:p>
      <w:pPr>
        <w:pStyle w:val="Heading2"/>
        <w:spacing w:after="120" w:before="240"/>
      </w:pPr>
      <w:r>
        <w:rPr>
          <w:b/>
          <w:bCs/>
          <w:color w:val="1E5631"/>
          <w:sz w:val="24"/>
          <w:szCs w:val="24"/>
        </w:rPr>
        <w:t xml:space="preserve">Number &amp; Terms</w:t>
      </w:r>
    </w:p>
    <w:p>
      <w:pPr>
        <w:spacing w:after="160"/>
      </w:pPr>
      <w:r>
        <w:rPr>
          <w:b w:val="false"/>
          <w:bCs w:val="false"/>
          <w:i w:val="false"/>
          <w:iCs w:val="false"/>
          <w:sz w:val="20"/>
          <w:szCs w:val="20"/>
        </w:rPr>
        <w:t xml:space="preserve">The Corporation shall maintain not fewer than four (4) and not more than eleven (11) Directors, each serving three-year terms and eligible for reelection.</w:t>
      </w:r>
    </w:p>
    <w:p>
      <w:pPr>
        <w:pStyle w:val="Heading2"/>
        <w:spacing w:after="120" w:before="240"/>
      </w:pPr>
      <w:r>
        <w:rPr>
          <w:b/>
          <w:bCs/>
          <w:color w:val="1E5631"/>
          <w:sz w:val="24"/>
          <w:szCs w:val="24"/>
        </w:rPr>
        <w:t xml:space="preserve">Duties</w:t>
      </w:r>
    </w:p>
    <w:p>
      <w:pPr>
        <w:spacing w:after="160"/>
      </w:pPr>
      <w:r>
        <w:rPr>
          <w:b w:val="false"/>
          <w:bCs w:val="false"/>
          <w:i w:val="false"/>
          <w:iCs w:val="false"/>
          <w:sz w:val="20"/>
          <w:szCs w:val="20"/>
        </w:rPr>
        <w:t xml:space="preserve">Directors shall support the mission, ensure legal and financial compliance, participate in governance and planning, and fulfill their fiduciary responsibilities.</w:t>
      </w:r>
    </w:p>
    <w:p>
      <w:pPr>
        <w:pStyle w:val="Heading2"/>
        <w:spacing w:after="120" w:before="240"/>
      </w:pPr>
      <w:r>
        <w:rPr>
          <w:b/>
          <w:bCs/>
          <w:color w:val="1E5631"/>
          <w:sz w:val="24"/>
          <w:szCs w:val="24"/>
        </w:rPr>
        <w:t xml:space="preserve">Vacancies &amp; Removal</w:t>
      </w:r>
    </w:p>
    <w:p>
      <w:pPr>
        <w:spacing w:after="160"/>
      </w:pPr>
      <w:r>
        <w:rPr>
          <w:b w:val="false"/>
          <w:bCs w:val="false"/>
          <w:i w:val="false"/>
          <w:iCs w:val="false"/>
          <w:sz w:val="20"/>
          <w:szCs w:val="20"/>
        </w:rPr>
        <w:t xml:space="preserve">Vacancies shall be filled by majority vote of the remaining Directors. A Director may be removed by a two-thirds (2/3) vote of the Board, except as otherwise provided in these Bylaws.</w:t>
      </w:r>
    </w:p>
    <w:p>
      <w:pPr>
        <w:pStyle w:val="Heading1"/>
        <w:spacing w:after="140" w:before="280"/>
      </w:pPr>
      <w:r>
        <w:rPr>
          <w:b/>
          <w:bCs/>
          <w:color w:val="1E5631"/>
          <w:sz w:val="26"/>
          <w:szCs w:val="26"/>
        </w:rPr>
        <w:t xml:space="preserve">Article VI — Officers</w:t>
      </w:r>
    </w:p>
    <w:p>
      <w:pPr>
        <w:spacing w:after="160"/>
      </w:pPr>
      <w:r>
        <w:rPr>
          <w:b w:val="false"/>
          <w:bCs w:val="false"/>
          <w:i w:val="false"/>
          <w:iCs w:val="false"/>
          <w:sz w:val="20"/>
          <w:szCs w:val="20"/>
        </w:rPr>
        <w:t xml:space="preserve">The officers of the Corporation shall be Chairperson, Vice Chairperson, Treasurer, and Secretary, each with duties as described below.</w:t>
      </w:r>
    </w:p>
    <w:p>
      <w:pPr>
        <w:pStyle w:val="Heading2"/>
        <w:spacing w:after="120" w:before="240"/>
      </w:pPr>
      <w:r>
        <w:rPr>
          <w:b/>
          <w:bCs/>
          <w:color w:val="1E5631"/>
          <w:sz w:val="24"/>
          <w:szCs w:val="24"/>
        </w:rPr>
        <w:t xml:space="preserve">Chairperson</w:t>
      </w:r>
    </w:p>
    <w:p>
      <w:pPr>
        <w:spacing w:after="160"/>
      </w:pPr>
      <w:r>
        <w:rPr>
          <w:b w:val="false"/>
          <w:bCs w:val="false"/>
          <w:i w:val="false"/>
          <w:iCs w:val="false"/>
          <w:sz w:val="20"/>
          <w:szCs w:val="20"/>
        </w:rPr>
        <w:t xml:space="preserve">Presides over Board meetings, provides leadership, executes Board-authorized actions, and serves as the primary representative of the Corporation.</w:t>
      </w:r>
    </w:p>
    <w:p>
      <w:pPr>
        <w:pStyle w:val="Heading2"/>
        <w:spacing w:after="120" w:before="240"/>
      </w:pPr>
      <w:r>
        <w:rPr>
          <w:b/>
          <w:bCs/>
          <w:color w:val="1E5631"/>
          <w:sz w:val="24"/>
          <w:szCs w:val="24"/>
        </w:rPr>
        <w:t xml:space="preserve">Vice Chairperson</w:t>
      </w:r>
    </w:p>
    <w:p>
      <w:pPr>
        <w:spacing w:after="160"/>
      </w:pPr>
      <w:r>
        <w:rPr>
          <w:b w:val="false"/>
          <w:bCs w:val="false"/>
          <w:i w:val="false"/>
          <w:iCs w:val="false"/>
          <w:sz w:val="20"/>
          <w:szCs w:val="20"/>
        </w:rPr>
        <w:t xml:space="preserve">Performs the duties of the Chairperson in the Chairperson's absence.</w:t>
      </w:r>
    </w:p>
    <w:p>
      <w:pPr>
        <w:pStyle w:val="Heading2"/>
        <w:spacing w:after="120" w:before="240"/>
      </w:pPr>
      <w:r>
        <w:rPr>
          <w:b/>
          <w:bCs/>
          <w:color w:val="1E5631"/>
          <w:sz w:val="24"/>
          <w:szCs w:val="24"/>
        </w:rPr>
        <w:t xml:space="preserve">Treasurer</w:t>
      </w:r>
    </w:p>
    <w:p>
      <w:pPr>
        <w:spacing w:after="160"/>
      </w:pPr>
      <w:r>
        <w:rPr>
          <w:b w:val="false"/>
          <w:bCs w:val="false"/>
          <w:i w:val="false"/>
          <w:iCs w:val="false"/>
          <w:sz w:val="20"/>
          <w:szCs w:val="20"/>
        </w:rPr>
        <w:t xml:space="preserve">Oversees financial records, presents financial reports, monitors budgets, and assists with required nonprofit filings.</w:t>
      </w:r>
    </w:p>
    <w:p>
      <w:pPr>
        <w:pStyle w:val="Heading2"/>
        <w:spacing w:after="120" w:before="240"/>
      </w:pPr>
      <w:r>
        <w:rPr>
          <w:b/>
          <w:bCs/>
          <w:color w:val="1E5631"/>
          <w:sz w:val="24"/>
          <w:szCs w:val="24"/>
        </w:rPr>
        <w:t xml:space="preserve">Secretary</w:t>
      </w:r>
    </w:p>
    <w:p>
      <w:pPr>
        <w:spacing w:after="160"/>
      </w:pPr>
      <w:r>
        <w:rPr>
          <w:b w:val="false"/>
          <w:bCs w:val="false"/>
          <w:i w:val="false"/>
          <w:iCs w:val="false"/>
          <w:sz w:val="20"/>
          <w:szCs w:val="20"/>
        </w:rPr>
        <w:t xml:space="preserve">Maintains corporate records, prepares and retains meeting minutes, provides notices of meetings, and maintains governing documents.</w:t>
      </w:r>
    </w:p>
    <w:p>
      <w:pPr>
        <w:pStyle w:val="Heading1"/>
        <w:spacing w:after="140" w:before="280"/>
      </w:pPr>
      <w:r>
        <w:rPr>
          <w:b/>
          <w:bCs/>
          <w:color w:val="1E5631"/>
          <w:sz w:val="26"/>
          <w:szCs w:val="26"/>
        </w:rPr>
        <w:t xml:space="preserve">Article VII — Meetings</w:t>
      </w:r>
    </w:p>
    <w:p>
      <w:pPr>
        <w:spacing w:after="160"/>
      </w:pPr>
      <w:r>
        <w:rPr>
          <w:b w:val="false"/>
          <w:bCs w:val="false"/>
          <w:i w:val="false"/>
          <w:iCs w:val="false"/>
          <w:sz w:val="20"/>
          <w:szCs w:val="20"/>
        </w:rPr>
        <w:t xml:space="preserve">An annual meeting shall be held each year and the Board shall meet at least quarterly. Special meetings may be called by the Chairperson or any two Directors. At least seven (7) days' notice shall be provided. A majority of currently serving Directors constitutes a quorum, and actions are approved by majority vote unless otherwise specified.</w:t>
      </w:r>
    </w:p>
    <w:p>
      <w:pPr>
        <w:pStyle w:val="Heading1"/>
        <w:spacing w:after="140" w:before="280"/>
      </w:pPr>
      <w:r>
        <w:rPr>
          <w:b/>
          <w:bCs/>
          <w:color w:val="1E5631"/>
          <w:sz w:val="26"/>
          <w:szCs w:val="26"/>
        </w:rPr>
        <w:t xml:space="preserve">Article VIII — Committees</w:t>
      </w:r>
    </w:p>
    <w:p>
      <w:pPr>
        <w:spacing w:after="160"/>
      </w:pPr>
      <w:r>
        <w:rPr>
          <w:b w:val="false"/>
          <w:bCs w:val="false"/>
          <w:i w:val="false"/>
          <w:iCs w:val="false"/>
          <w:sz w:val="20"/>
          <w:szCs w:val="20"/>
        </w:rPr>
        <w:t xml:space="preserve">The Board may establish committees as needed. Committees shall report to and remain under the authority of the Board.</w:t>
      </w:r>
    </w:p>
    <w:p>
      <w:pPr>
        <w:pStyle w:val="Heading1"/>
        <w:spacing w:after="140" w:before="280"/>
      </w:pPr>
      <w:r>
        <w:rPr>
          <w:b/>
          <w:bCs/>
          <w:color w:val="1E5631"/>
          <w:sz w:val="26"/>
          <w:szCs w:val="26"/>
        </w:rPr>
        <w:t xml:space="preserve">Article IX — Community Outreach and Stabilization Program</w:t>
      </w:r>
    </w:p>
    <w:p>
      <w:pPr>
        <w:spacing w:after="160"/>
      </w:pPr>
      <w:r>
        <w:rPr>
          <w:b w:val="false"/>
          <w:bCs w:val="false"/>
          <w:i w:val="false"/>
          <w:iCs w:val="false"/>
          <w:sz w:val="20"/>
          <w:szCs w:val="20"/>
        </w:rPr>
        <w:t xml:space="preserve">The initial charitable program of the Corporation shall be the Community Outreach and Stabilization Program, connecting individuals and families with resources and coordinating volunteer-driven outreach activities through partnerships approved by the Board.</w:t>
      </w:r>
    </w:p>
    <w:p>
      <w:pPr>
        <w:pStyle w:val="Heading1"/>
        <w:spacing w:after="140" w:before="280"/>
      </w:pPr>
      <w:r>
        <w:rPr>
          <w:b/>
          <w:bCs/>
          <w:color w:val="1E5631"/>
          <w:sz w:val="26"/>
          <w:szCs w:val="26"/>
        </w:rPr>
        <w:t xml:space="preserve">Article X — Compensation</w:t>
      </w:r>
    </w:p>
    <w:p>
      <w:pPr>
        <w:spacing w:after="160"/>
      </w:pPr>
      <w:r>
        <w:rPr>
          <w:b w:val="false"/>
          <w:bCs w:val="false"/>
          <w:i w:val="false"/>
          <w:iCs w:val="false"/>
          <w:sz w:val="20"/>
          <w:szCs w:val="20"/>
        </w:rPr>
        <w:t xml:space="preserve">The Corporation may compensate employees, contractors, and other individuals for necessary services. Founder or Director compensation shall be reasonable, based on actual services performed, approved by disinterested Directors, and documented in Board minutes.</w:t>
      </w:r>
    </w:p>
    <w:p>
      <w:pPr>
        <w:pStyle w:val="Heading1"/>
        <w:spacing w:after="140" w:before="280"/>
      </w:pPr>
      <w:r>
        <w:rPr>
          <w:b/>
          <w:bCs/>
          <w:color w:val="1E5631"/>
          <w:sz w:val="26"/>
          <w:szCs w:val="26"/>
        </w:rPr>
        <w:t xml:space="preserve">Article XI — Conflict of Interest</w:t>
      </w:r>
    </w:p>
    <w:p>
      <w:pPr>
        <w:spacing w:after="160"/>
      </w:pPr>
      <w:r>
        <w:rPr>
          <w:b w:val="false"/>
          <w:bCs w:val="false"/>
          <w:i w:val="false"/>
          <w:iCs w:val="false"/>
          <w:sz w:val="20"/>
          <w:szCs w:val="20"/>
        </w:rPr>
        <w:t xml:space="preserve">Directors, officers, employees, and volunteers shall disclose any actual or potential conflicts of interest and refrain from participating in related decisions, per the Corporation's separate Conflict of Interest Policy.</w:t>
      </w:r>
    </w:p>
    <w:p>
      <w:pPr>
        <w:pStyle w:val="Heading1"/>
        <w:spacing w:after="140" w:before="280"/>
      </w:pPr>
      <w:r>
        <w:rPr>
          <w:b/>
          <w:bCs/>
          <w:color w:val="1E5631"/>
          <w:sz w:val="26"/>
          <w:szCs w:val="26"/>
        </w:rPr>
        <w:t xml:space="preserve">Article XII — Financial Administration</w:t>
      </w:r>
    </w:p>
    <w:p>
      <w:pPr>
        <w:spacing w:after="160"/>
      </w:pPr>
      <w:r>
        <w:rPr>
          <w:b w:val="false"/>
          <w:bCs w:val="false"/>
          <w:i w:val="false"/>
          <w:iCs w:val="false"/>
          <w:sz w:val="20"/>
          <w:szCs w:val="20"/>
        </w:rPr>
        <w:t xml:space="preserve">The fiscal year shall be established by Board resolution. The Corporation shall maintain accurate financial records, approve an annual operating budget, and maintain funds only in Board-approved financial institutions.</w:t>
      </w:r>
    </w:p>
    <w:p>
      <w:pPr>
        <w:pStyle w:val="Heading1"/>
        <w:spacing w:after="140" w:before="280"/>
      </w:pPr>
      <w:r>
        <w:rPr>
          <w:b/>
          <w:bCs/>
          <w:color w:val="1E5631"/>
          <w:sz w:val="26"/>
          <w:szCs w:val="26"/>
        </w:rPr>
        <w:t xml:space="preserve">Article XIII — Nondiscrimination</w:t>
      </w:r>
    </w:p>
    <w:p>
      <w:pPr>
        <w:spacing w:after="160"/>
      </w:pPr>
      <w:r>
        <w:rPr>
          <w:b w:val="false"/>
          <w:bCs w:val="false"/>
          <w:i w:val="false"/>
          <w:iCs w:val="false"/>
          <w:sz w:val="20"/>
          <w:szCs w:val="20"/>
        </w:rPr>
        <w:t xml:space="preserve">The Corporation shall comply with all applicable federal, state, and local laws regarding equal access to services and employment.</w:t>
      </w:r>
    </w:p>
    <w:p>
      <w:pPr>
        <w:pStyle w:val="Heading1"/>
        <w:spacing w:after="140" w:before="280"/>
      </w:pPr>
      <w:r>
        <w:rPr>
          <w:b/>
          <w:bCs/>
          <w:color w:val="1E5631"/>
          <w:sz w:val="26"/>
          <w:szCs w:val="26"/>
        </w:rPr>
        <w:t xml:space="preserve">Article XIV — Indemnification</w:t>
      </w:r>
    </w:p>
    <w:p>
      <w:pPr>
        <w:spacing w:after="160"/>
      </w:pPr>
      <w:r>
        <w:rPr>
          <w:b w:val="false"/>
          <w:bCs w:val="false"/>
          <w:i w:val="false"/>
          <w:iCs w:val="false"/>
          <w:sz w:val="20"/>
          <w:szCs w:val="20"/>
        </w:rPr>
        <w:t xml:space="preserve">To the fullest extent permitted by Florida law, the Corporation shall indemnify its Directors, Officers, employees, and volunteers acting in good faith on behalf of the Corporation.</w:t>
      </w:r>
    </w:p>
    <w:p>
      <w:pPr>
        <w:pStyle w:val="Heading1"/>
        <w:spacing w:after="140" w:before="280"/>
      </w:pPr>
      <w:r>
        <w:rPr>
          <w:b/>
          <w:bCs/>
          <w:color w:val="1E5631"/>
          <w:sz w:val="26"/>
          <w:szCs w:val="26"/>
        </w:rPr>
        <w:t xml:space="preserve">Article XV — Records</w:t>
      </w:r>
    </w:p>
    <w:p>
      <w:pPr>
        <w:spacing w:after="160"/>
      </w:pPr>
      <w:r>
        <w:rPr>
          <w:b w:val="false"/>
          <w:bCs w:val="false"/>
          <w:i w:val="false"/>
          <w:iCs w:val="false"/>
          <w:sz w:val="20"/>
          <w:szCs w:val="20"/>
        </w:rPr>
        <w:t xml:space="preserve">The Corporation shall maintain meeting minutes, financial records, governing documents, corporate filings, and program records in accordance with applicable law.</w:t>
      </w:r>
    </w:p>
    <w:p>
      <w:pPr>
        <w:pStyle w:val="Heading1"/>
        <w:spacing w:after="140" w:before="280"/>
      </w:pPr>
      <w:r>
        <w:rPr>
          <w:b/>
          <w:bCs/>
          <w:color w:val="1E5631"/>
          <w:sz w:val="26"/>
          <w:szCs w:val="26"/>
        </w:rPr>
        <w:t xml:space="preserve">Article XVI — Dissolution</w:t>
      </w:r>
    </w:p>
    <w:p>
      <w:pPr>
        <w:spacing w:after="160"/>
      </w:pPr>
      <w:r>
        <w:rPr>
          <w:b w:val="false"/>
          <w:bCs w:val="false"/>
          <w:i w:val="false"/>
          <w:iCs w:val="false"/>
          <w:sz w:val="20"/>
          <w:szCs w:val="20"/>
        </w:rPr>
        <w:t xml:space="preserve">Upon dissolution, all assets shall be distributed exclusively for one or more exempt purposes within the meaning of Section 501(c)(3). No assets shall be distributed to any private individual.</w:t>
      </w:r>
    </w:p>
    <w:p>
      <w:pPr>
        <w:pStyle w:val="Heading1"/>
        <w:spacing w:after="140" w:before="280"/>
      </w:pPr>
      <w:r>
        <w:rPr>
          <w:b/>
          <w:bCs/>
          <w:color w:val="1E5631"/>
          <w:sz w:val="26"/>
          <w:szCs w:val="26"/>
        </w:rPr>
        <w:t xml:space="preserve">Article XVII — Amendments</w:t>
      </w:r>
    </w:p>
    <w:p>
      <w:pPr>
        <w:spacing w:after="300"/>
      </w:pPr>
      <w:r>
        <w:rPr>
          <w:b w:val="false"/>
          <w:bCs w:val="false"/>
          <w:i w:val="false"/>
          <w:iCs w:val="false"/>
          <w:sz w:val="20"/>
          <w:szCs w:val="20"/>
        </w:rPr>
        <w:t xml:space="preserve">These Bylaws may be amended by a two-thirds (2/3) vote of the Board, provided written notice of the proposed amendment is given at least fourteen (14) days before the vote.</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Chairperson</w:t>
      </w:r>
    </w:p>
    <w:p>
      <w:pPr>
        <w:spacing w:after="300"/>
      </w:pPr>
      <w:r>
        <w:rPr>
          <w:b w:val="false"/>
          <w:bCs w:val="false"/>
          <w:i w:val="false"/>
          <w:iCs w:val="false"/>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Bylaws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2026-08-19T20:18:59.329Z</dcterms:created>
  <dcterms:modified xsi:type="dcterms:W3CDTF">2026-08-19T20:18:59.329Z</dcterms:modified>
</cp:coreProperties>
</file>

<file path=docProps/custom.xml><?xml version="1.0" encoding="utf-8"?>
<Properties xmlns="http://schemas.openxmlformats.org/officeDocument/2006/custom-properties" xmlns:vt="http://schemas.openxmlformats.org/officeDocument/2006/docPropsVTypes"/>
</file>