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GRANT / DONATION APPLICATION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Application Readiness Review &amp; Board Authorization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EACH GRANT OR DONATION REQUEST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document reviews AGHF Inc.'s readiness to submit a grant or in-kind donation request in support of [Program Name].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Application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AGHF Inc. d/b/a AgroHouse Foundation™</w:t>
            </w:r>
          </w:p>
        </w:tc>
      </w:tr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Funder / Donor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[Funder Name]</w:t>
            </w:r>
          </w:p>
        </w:tc>
      </w:tr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[Program Name]</w:t>
            </w:r>
          </w:p>
        </w:tc>
      </w:tr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Requested Support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[e.g., in-kind food donations, monetary grant]</w:t>
            </w:r>
          </w:p>
        </w:tc>
      </w:tr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Requested Amount / Value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Partner Organization (if applicable)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[Partner Name]</w:t>
            </w:r>
          </w:p>
        </w:tc>
      </w:tr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Intended Use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[Describe how funds/goods will be used]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Readiness Checklist</w:t>
      </w:r>
    </w:p>
    <w:p>
      <w:pPr>
        <w:spacing w:after="100"/>
      </w:pPr>
      <w:r>
        <w:rPr>
          <w:sz w:val="20"/>
          <w:szCs w:val="20"/>
        </w:rPr>
        <w:t xml:space="preserve">•  ☐ Application accurately discloses AGHF's pending 501(c)(3) status</w:t>
      </w:r>
    </w:p>
    <w:p>
      <w:pPr>
        <w:spacing w:after="100"/>
      </w:pPr>
      <w:r>
        <w:rPr>
          <w:sz w:val="20"/>
          <w:szCs w:val="20"/>
        </w:rPr>
        <w:t xml:space="preserve">•  ☐ Requested amount reviewed against Financial Controls Policy thresholds</w:t>
      </w:r>
    </w:p>
    <w:p>
      <w:pPr>
        <w:spacing w:after="100"/>
      </w:pPr>
      <w:r>
        <w:rPr>
          <w:sz w:val="20"/>
          <w:szCs w:val="20"/>
        </w:rPr>
        <w:t xml:space="preserve">•  ☐ Board authorization obtained (if required)</w:t>
      </w:r>
    </w:p>
    <w:p>
      <w:pPr>
        <w:spacing w:after="100"/>
      </w:pPr>
      <w:r>
        <w:rPr>
          <w:sz w:val="20"/>
          <w:szCs w:val="20"/>
        </w:rPr>
        <w:t xml:space="preserve">•  ☐ Reporting plan established for use of funds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Board Authorization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application is submitted under the authority of the Grant Application Authorization Resolution. Applications exceeding $[Threshold] require Board approval prior to submission.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Executive Director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Grant / Donation Application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2026-08-19T20:20:13.133Z</dcterms:created>
  <dcterms:modified xsi:type="dcterms:W3CDTF">2026-08-19T20:20:13.133Z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