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ORGANIZATIONAL COMMUNICATION STANDARDS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Preferred Organizational Voice</w:t>
      </w:r>
    </w:p>
    <w:p>
      <w:pPr>
        <w:spacing w:after="100"/>
      </w:pPr>
      <w:r>
        <w:rPr>
          <w:sz w:val="20"/>
          <w:szCs w:val="20"/>
        </w:rPr>
        <w:t xml:space="preserve">•  Professional</w:t>
      </w:r>
    </w:p>
    <w:p>
      <w:pPr>
        <w:spacing w:after="100"/>
      </w:pPr>
      <w:r>
        <w:rPr>
          <w:sz w:val="20"/>
          <w:szCs w:val="20"/>
        </w:rPr>
        <w:t xml:space="preserve">•  Community Focused</w:t>
      </w:r>
    </w:p>
    <w:p>
      <w:pPr>
        <w:spacing w:after="100"/>
      </w:pPr>
      <w:r>
        <w:rPr>
          <w:sz w:val="20"/>
          <w:szCs w:val="20"/>
        </w:rPr>
        <w:t xml:space="preserve">•  Mission Driven</w:t>
      </w:r>
    </w:p>
    <w:p>
      <w:pPr>
        <w:spacing w:after="100"/>
      </w:pPr>
      <w:r>
        <w:rPr>
          <w:sz w:val="20"/>
          <w:szCs w:val="20"/>
        </w:rPr>
        <w:t xml:space="preserve">•  Grant Ready</w:t>
      </w:r>
    </w:p>
    <w:p>
      <w:pPr>
        <w:spacing w:after="100"/>
      </w:pPr>
      <w:r>
        <w:rPr>
          <w:sz w:val="20"/>
          <w:szCs w:val="20"/>
        </w:rPr>
        <w:t xml:space="preserve">•  Data Informed</w:t>
      </w:r>
    </w:p>
    <w:p>
      <w:pPr>
        <w:spacing w:after="100"/>
      </w:pPr>
      <w:r>
        <w:rPr>
          <w:sz w:val="20"/>
          <w:szCs w:val="20"/>
        </w:rPr>
        <w:t xml:space="preserve">•  Partnership Oriented</w:t>
      </w:r>
    </w:p>
    <w:p>
      <w:pPr>
        <w:spacing w:after="100"/>
      </w:pPr>
      <w:r>
        <w:rPr>
          <w:sz w:val="20"/>
          <w:szCs w:val="20"/>
        </w:rPr>
        <w:t xml:space="preserve">•  Faith-Friendly</w:t>
      </w:r>
    </w:p>
    <w:p>
      <w:pPr>
        <w:spacing w:after="100"/>
      </w:pPr>
      <w:r>
        <w:rPr>
          <w:sz w:val="20"/>
          <w:szCs w:val="20"/>
        </w:rPr>
        <w:t xml:space="preserve">•  Solution Focused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Communication Themes</w:t>
      </w:r>
    </w:p>
    <w:p>
      <w:pPr>
        <w:spacing w:after="100"/>
      </w:pPr>
      <w:r>
        <w:rPr>
          <w:sz w:val="20"/>
          <w:szCs w:val="20"/>
        </w:rPr>
        <w:t xml:space="preserve">•  Food Security</w:t>
      </w:r>
    </w:p>
    <w:p>
      <w:pPr>
        <w:spacing w:after="100"/>
      </w:pPr>
      <w:r>
        <w:rPr>
          <w:sz w:val="20"/>
          <w:szCs w:val="20"/>
        </w:rPr>
        <w:t xml:space="preserve">•  Community Stabilization</w:t>
      </w:r>
    </w:p>
    <w:p>
      <w:pPr>
        <w:spacing w:after="100"/>
      </w:pPr>
      <w:r>
        <w:rPr>
          <w:sz w:val="20"/>
          <w:szCs w:val="20"/>
        </w:rPr>
        <w:t xml:space="preserve">•  Sustainable Agriculture</w:t>
      </w:r>
    </w:p>
    <w:p>
      <w:pPr>
        <w:spacing w:after="100"/>
      </w:pPr>
      <w:r>
        <w:rPr>
          <w:sz w:val="20"/>
          <w:szCs w:val="20"/>
        </w:rPr>
        <w:t xml:space="preserve">•  Workforce Development</w:t>
      </w:r>
    </w:p>
    <w:p>
      <w:pPr>
        <w:spacing w:after="100"/>
      </w:pPr>
      <w:r>
        <w:rPr>
          <w:sz w:val="20"/>
          <w:szCs w:val="20"/>
        </w:rPr>
        <w:t xml:space="preserve">•  Self-Sufficiency</w:t>
      </w:r>
    </w:p>
    <w:p>
      <w:pPr>
        <w:spacing w:after="100"/>
      </w:pPr>
      <w:r>
        <w:rPr>
          <w:sz w:val="20"/>
          <w:szCs w:val="20"/>
        </w:rPr>
        <w:t xml:space="preserve">•  Responsible Stewardship</w:t>
      </w:r>
    </w:p>
    <w:p>
      <w:pPr>
        <w:spacing w:after="100"/>
      </w:pPr>
      <w:r>
        <w:rPr>
          <w:sz w:val="20"/>
          <w:szCs w:val="20"/>
        </w:rPr>
        <w:t xml:space="preserve">•  Community Partnerships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Avoid</w:t>
      </w:r>
    </w:p>
    <w:p>
      <w:pPr>
        <w:spacing w:after="100"/>
      </w:pPr>
      <w:r>
        <w:rPr>
          <w:sz w:val="20"/>
          <w:szCs w:val="20"/>
        </w:rPr>
        <w:t xml:space="preserve">•  Political messaging</w:t>
      </w:r>
    </w:p>
    <w:p>
      <w:pPr>
        <w:spacing w:after="100"/>
      </w:pPr>
      <w:r>
        <w:rPr>
          <w:sz w:val="20"/>
          <w:szCs w:val="20"/>
        </w:rPr>
        <w:t xml:space="preserve">•  Partisan advocacy</w:t>
      </w:r>
    </w:p>
    <w:p>
      <w:pPr>
        <w:spacing w:after="100"/>
      </w:pPr>
      <w:r>
        <w:rPr>
          <w:sz w:val="20"/>
          <w:szCs w:val="20"/>
        </w:rPr>
        <w:t xml:space="preserve">•  Unverified impact claims</w:t>
      </w:r>
    </w:p>
    <w:p>
      <w:pPr>
        <w:spacing w:after="100"/>
      </w:pPr>
      <w:r>
        <w:rPr>
          <w:sz w:val="20"/>
          <w:szCs w:val="20"/>
        </w:rPr>
        <w:t xml:space="preserve">•  Corporate jargon</w:t>
      </w:r>
    </w:p>
    <w:p>
      <w:pPr>
        <w:spacing w:after="100"/>
      </w:pPr>
      <w:r>
        <w:rPr>
          <w:sz w:val="20"/>
          <w:szCs w:val="20"/>
        </w:rPr>
        <w:t xml:space="preserve">•  Exaggerated fundraising language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Pre-501(c)(3) Disclosure Language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fundraising communications made prior to receiving IRS 501(c)(3) determination shall clearly disclose that the Corporation's tax-exempt status is pending.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Organizational Communication Standards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2026-08-19T20:20:13.216Z</dcterms:created>
  <dcterms:modified xsi:type="dcterms:W3CDTF">2026-08-19T20:20:13.216Z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