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Corpus Linguist specialising in Lexical Multi-Dimensional Analysis (LMDA).</w:t>
      </w:r>
    </w:p>
    <w:p>
      <w:pPr>
        <w:pStyle w:val="BlockText"/>
      </w:pPr>
      <w:r>
        <w:t xml:space="preserve">Through the identification of (lexical) dimensions or sets of correlated lexical features, LMDA enables the analysis of lexical patterning from a multi-dimensional perspective. These lexical dimensions represent a variety of latent, macro-level discursive constructs. (Berber Sardinha &amp; Fitzsimmons-Doolan, 2025)</w:t>
      </w:r>
    </w:p>
    <w:p>
      <w:pPr>
        <w:pStyle w:val="BlockText"/>
      </w:pPr>
      <w:r>
        <w:t xml:space="preserve">This range of macro-level discursive constructs is referred to as</w:t>
      </w:r>
      <w:r>
        <w:t xml:space="preserve"> </w:t>
      </w:r>
      <w:r>
        <w:rPr>
          <w:iCs/>
          <w:i/>
        </w:rPr>
        <w:t xml:space="preserve">ideological discourses</w:t>
      </w:r>
      <w:r>
        <w:t xml:space="preserve">. Ideological discourses can be expressed about a range of topics and, though usually highly recognisable as concepts in their explicit form, are rarely expressed explicitly. For our purposes, by ideological discourses, we mean socially shared, socially situated representations of real-world phenomena conveyed implicitly through language use. Because they are shared, ideological discourses also constrain or limit how real-world phenomena are represented. By socially situated, we mean that ideological discourses are developed through social practice and social experience. Because they represent real-world phenomena, ideological discourses make meaning. (Berber Sardinha &amp; Fitzsimmons-Doolan, 2025)</w:t>
      </w:r>
    </w:p>
    <w:p>
      <w:pPr>
        <w:pStyle w:val="BlockText"/>
      </w:pPr>
      <w:r>
        <w:t xml:space="preserve">Berber Sardinha, T., &amp; Fitzsimmons-Doolan, S. (2025). Lexical Multi-Dimensional Analysis: Identifying Discourses and Ideologies. Cambridge University Press. https://www.cambridge.org/core/elements/lexical-multidimensional-analysis/B2321B62435360F4F7C4AF3F1CCF4E59</w:t>
      </w:r>
    </w:p>
    <w:p>
      <w:pPr>
        <w:pStyle w:val="FirstParagraph"/>
      </w:pPr>
      <w:r>
        <w:t xml:space="preserve">The target corpus consists of selected fashion-related texts organised by register, as described in</w:t>
      </w:r>
      <w:r>
        <w:t xml:space="preserve"> </w:t>
      </w:r>
      <w:hyperlink w:anchor="Xfe124c700aea609376e6e8acf3e32a20be0484e">
        <w:r>
          <w:rPr>
            <w:rStyle w:val="Hyperlink"/>
          </w:rPr>
          <w:t xml:space="preserve">Mean factor scores of the registers in this pole</w:t>
        </w:r>
      </w:hyperlink>
      <w:r>
        <w:t xml:space="preserve">.</w:t>
      </w:r>
    </w:p>
    <w:p>
      <w:pPr>
        <w:pStyle w:val="BodyText"/>
      </w:pPr>
      <w:r>
        <w:t xml:space="preserve">Your task is to interpret</w:t>
      </w:r>
      <w:r>
        <w:t xml:space="preserve"> </w:t>
      </w:r>
      <w:r>
        <w:rPr>
          <w:bCs/>
          <w:b/>
        </w:rPr>
        <w:t xml:space="preserve">factor 3</w:t>
      </w:r>
      <w:r>
        <w:t xml:space="preserve">,</w:t>
      </w:r>
      <w:r>
        <w:t xml:space="preserve"> </w:t>
      </w:r>
      <w:r>
        <w:rPr>
          <w:bCs/>
          <w:b/>
        </w:rPr>
        <w:t xml:space="preserve">positive pole</w:t>
      </w:r>
      <w:r>
        <w:t xml:space="preserve"> </w:t>
      </w:r>
      <w:r>
        <w:t xml:space="preserve">as a</w:t>
      </w:r>
      <w:r>
        <w:t xml:space="preserve"> </w:t>
      </w:r>
      <w:r>
        <w:rPr>
          <w:iCs/>
          <w:i/>
        </w:rPr>
        <w:t xml:space="preserve">discourse dimension</w:t>
      </w:r>
      <w:r>
        <w:t xml:space="preserve">. By</w:t>
      </w:r>
      <w:r>
        <w:t xml:space="preserve"> </w:t>
      </w:r>
      <w:r>
        <w:rPr>
          <w:iCs/>
          <w:i/>
        </w:rPr>
        <w:t xml:space="preserve">discourse dimension</w:t>
      </w:r>
      <w:r>
        <w:t xml:space="preserve"> </w:t>
      </w:r>
      <w:r>
        <w:t xml:space="preserve">we mean identifying the</w:t>
      </w:r>
      <w:r>
        <w:t xml:space="preserve"> </w:t>
      </w:r>
      <w:r>
        <w:rPr>
          <w:iCs/>
          <w:i/>
        </w:rPr>
        <w:t xml:space="preserve">ideological discourses</w:t>
      </w:r>
      <w:r>
        <w:t xml:space="preserve"> </w:t>
      </w:r>
      <w:r>
        <w:t xml:space="preserve">underlying this pole.</w:t>
      </w:r>
    </w:p>
    <w:p>
      <w:pPr>
        <w:pStyle w:val="BodyText"/>
      </w:pPr>
      <w:r>
        <w:t xml:space="preserve">Focus on this pole only. Do not provide a</w:t>
      </w:r>
      <w:r>
        <w:t xml:space="preserve"> </w:t>
      </w:r>
      <w:r>
        <w:t xml:space="preserve">“</w:t>
      </w:r>
      <w:r>
        <w:t xml:space="preserve">versus</w:t>
      </w:r>
      <w:r>
        <w:t xml:space="preserve">”</w:t>
      </w:r>
      <w:r>
        <w:t xml:space="preserve"> </w:t>
      </w:r>
      <w:r>
        <w:t xml:space="preserve">interpretation of the opposite pole.</w:t>
      </w:r>
    </w:p>
    <w:p>
      <w:pPr>
        <w:pStyle w:val="BodyText"/>
      </w:pPr>
      <w:r>
        <w:t xml:space="preserve">In your interpretation, use three sources of evidence:</w:t>
      </w:r>
    </w:p>
    <w:p>
      <w:pPr>
        <w:numPr>
          <w:ilvl w:val="0"/>
          <w:numId w:val="1001"/>
        </w:numPr>
        <w:pStyle w:val="Compact"/>
      </w:pPr>
      <w:r>
        <w:rPr>
          <w:bCs/>
          <w:b/>
        </w:rPr>
        <w:t xml:space="preserve">Register profile</w:t>
      </w:r>
    </w:p>
    <w:p>
      <w:pPr>
        <w:numPr>
          <w:ilvl w:val="0"/>
          <w:numId w:val="1002"/>
        </w:numPr>
        <w:pStyle w:val="Compact"/>
      </w:pPr>
      <w:r>
        <w:t xml:space="preserve">Use</w:t>
      </w:r>
      <w:r>
        <w:t xml:space="preserve"> </w:t>
      </w:r>
      <w:hyperlink w:anchor="Xfe124c700aea609376e6e8acf3e32a20be0484e">
        <w:r>
          <w:rPr>
            <w:rStyle w:val="Hyperlink"/>
          </w:rPr>
          <w:t xml:space="preserve">Mean factor scores of the registers in this pole</w:t>
        </w:r>
      </w:hyperlink>
      <w:r>
        <w:t xml:space="preserve">.</w:t>
      </w:r>
    </w:p>
    <w:p>
      <w:pPr>
        <w:numPr>
          <w:ilvl w:val="0"/>
          <w:numId w:val="1002"/>
        </w:numPr>
        <w:pStyle w:val="Compact"/>
      </w:pPr>
      <w:r>
        <w:t xml:space="preserve">For positive poles, focus on the highest-scoring registers.</w:t>
      </w:r>
    </w:p>
    <w:p>
      <w:pPr>
        <w:numPr>
          <w:ilvl w:val="0"/>
          <w:numId w:val="1002"/>
        </w:numPr>
        <w:pStyle w:val="Compact"/>
      </w:pPr>
      <w:r>
        <w:t xml:space="preserve">For negative poles, focus on the registers at the low end of the factor-score distribution, whether their means are negative or simply the lowest positive values.</w:t>
      </w:r>
    </w:p>
    <w:p>
      <w:pPr>
        <w:numPr>
          <w:ilvl w:val="0"/>
          <w:numId w:val="1002"/>
        </w:numPr>
        <w:pStyle w:val="Compact"/>
      </w:pPr>
      <w:r>
        <w:t xml:space="preserve">Use register distribution as evidence, but do not label the pole solely by the dominant register.</w:t>
      </w:r>
    </w:p>
    <w:p>
      <w:pPr>
        <w:numPr>
          <w:ilvl w:val="0"/>
          <w:numId w:val="1003"/>
        </w:numPr>
        <w:pStyle w:val="Compact"/>
      </w:pPr>
      <w:r>
        <w:rPr>
          <w:bCs/>
          <w:b/>
        </w:rPr>
        <w:t xml:space="preserve">Lexical loading profile</w:t>
      </w:r>
    </w:p>
    <w:p>
      <w:pPr>
        <w:numPr>
          <w:ilvl w:val="0"/>
          <w:numId w:val="1004"/>
        </w:numPr>
        <w:pStyle w:val="Compact"/>
      </w:pPr>
      <w:r>
        <w:t xml:space="preserve">Use</w:t>
      </w:r>
      <w:r>
        <w:t xml:space="preserve"> </w:t>
      </w:r>
      <w:hyperlink w:anchor="lexical-loadings-in-this-pole">
        <w:r>
          <w:rPr>
            <w:rStyle w:val="Hyperlink"/>
          </w:rPr>
          <w:t xml:space="preserve">Lexical loadings in this pole</w:t>
        </w:r>
      </w:hyperlink>
      <w:r>
        <w:t xml:space="preserve">, which represents the full analysed target corpus.</w:t>
      </w:r>
    </w:p>
    <w:p>
      <w:pPr>
        <w:numPr>
          <w:ilvl w:val="0"/>
          <w:numId w:val="1004"/>
        </w:numPr>
        <w:pStyle w:val="Compact"/>
      </w:pPr>
      <w:r>
        <w:t xml:space="preserve">Identify the macro-level discursive constructs according to the definition of</w:t>
      </w:r>
      <w:r>
        <w:t xml:space="preserve"> </w:t>
      </w:r>
      <w:r>
        <w:rPr>
          <w:iCs/>
          <w:i/>
        </w:rPr>
        <w:t xml:space="preserve">ideological discourses</w:t>
      </w:r>
      <w:r>
        <w:t xml:space="preserve"> </w:t>
      </w:r>
      <w:r>
        <w:t xml:space="preserve">suggested by the loading words.</w:t>
      </w:r>
    </w:p>
    <w:p>
      <w:pPr>
        <w:numPr>
          <w:ilvl w:val="0"/>
          <w:numId w:val="1004"/>
        </w:numPr>
        <w:pStyle w:val="Compact"/>
      </w:pPr>
      <w:r>
        <w:t xml:space="preserve">If any loading items are marked in parentheses, treat them as secondary evidence unless they clearly support the interpretation.</w:t>
      </w:r>
    </w:p>
    <w:p>
      <w:pPr>
        <w:numPr>
          <w:ilvl w:val="0"/>
          <w:numId w:val="1005"/>
        </w:numPr>
        <w:pStyle w:val="Compact"/>
      </w:pPr>
      <w:r>
        <w:rPr>
          <w:bCs/>
          <w:b/>
        </w:rPr>
        <w:t xml:space="preserve">High-scoring examples</w:t>
      </w:r>
    </w:p>
    <w:p>
      <w:pPr>
        <w:numPr>
          <w:ilvl w:val="0"/>
          <w:numId w:val="1006"/>
        </w:numPr>
        <w:pStyle w:val="Compact"/>
      </w:pPr>
      <w:r>
        <w:t xml:space="preserve">Use</w:t>
      </w:r>
      <w:r>
        <w:t xml:space="preserve"> </w:t>
      </w:r>
      <w:hyperlink w:anchor="X42a222ad06b225c22302324a738689386bdd8bf">
        <w:r>
          <w:rPr>
            <w:rStyle w:val="Hyperlink"/>
          </w:rPr>
          <w:t xml:space="preserve">High-scoring example excerpts in this pole</w:t>
        </w:r>
      </w:hyperlink>
      <w:r>
        <w:t xml:space="preserve"> </w:t>
      </w:r>
      <w:r>
        <w:t xml:space="preserve">as qualitative evidence.</w:t>
      </w:r>
    </w:p>
    <w:p>
      <w:pPr>
        <w:numPr>
          <w:ilvl w:val="0"/>
          <w:numId w:val="1006"/>
        </w:numPr>
        <w:pStyle w:val="Compact"/>
      </w:pPr>
      <w:r>
        <w:t xml:space="preserve">Notice which loading words occur in the examples and how they function in context.</w:t>
      </w:r>
    </w:p>
    <w:p>
      <w:pPr>
        <w:numPr>
          <w:ilvl w:val="0"/>
          <w:numId w:val="1006"/>
        </w:numPr>
        <w:pStyle w:val="Compact"/>
      </w:pPr>
      <w:r>
        <w:t xml:space="preserve">Give the examples equal interpretive attention, but remember that they are a limited set of high-scoring samples, whereas the loadings represent the full analysed subcorpus.</w:t>
      </w:r>
    </w:p>
    <w:p>
      <w:pPr>
        <w:pStyle w:val="FirstParagraph"/>
      </w:pPr>
      <w:r>
        <w:t xml:space="preserve">Your response should include the following elements and be formatted in Markdown:</w:t>
      </w:r>
    </w:p>
    <w:bookmarkStart w:id="20" w:name="register-evidence"/>
    <w:p>
      <w:pPr>
        <w:pStyle w:val="Heading2"/>
      </w:pPr>
      <w:r>
        <w:t xml:space="preserve">1. Register evidence</w:t>
      </w:r>
    </w:p>
    <w:p>
      <w:pPr>
        <w:pStyle w:val="FirstParagraph"/>
      </w:pPr>
      <w:r>
        <w:t xml:space="preserve">Briefly identify which registers drive this pole and what that suggests.</w:t>
      </w:r>
    </w:p>
    <w:bookmarkEnd w:id="20"/>
    <w:bookmarkStart w:id="21" w:name="lexical-evidence"/>
    <w:p>
      <w:pPr>
        <w:pStyle w:val="Heading2"/>
      </w:pPr>
      <w:r>
        <w:t xml:space="preserve">2. Lexical evidence</w:t>
      </w:r>
    </w:p>
    <w:p>
      <w:pPr>
        <w:pStyle w:val="FirstParagraph"/>
      </w:pPr>
      <w:r>
        <w:t xml:space="preserve">Group the major loading words into meaningful semantic or functional clusters. Explain what these clusters suggest about the pole.</w:t>
      </w:r>
    </w:p>
    <w:bookmarkEnd w:id="21"/>
    <w:bookmarkStart w:id="22" w:name="evidence-from-examples"/>
    <w:p>
      <w:pPr>
        <w:pStyle w:val="Heading2"/>
      </w:pPr>
      <w:r>
        <w:t xml:space="preserve">3. Evidence from examples</w:t>
      </w:r>
    </w:p>
    <w:p>
      <w:pPr>
        <w:pStyle w:val="FirstParagraph"/>
      </w:pPr>
      <w:r>
        <w:t xml:space="preserve">Explain how the high-scoring excerpts instantiate the loading pattern. Refer to specific recurring words, phrases, rhetorical moves, or discourse functions.</w:t>
      </w:r>
    </w:p>
    <w:bookmarkEnd w:id="22"/>
    <w:bookmarkStart w:id="23" w:name="interpretation-of-the-pole"/>
    <w:p>
      <w:pPr>
        <w:pStyle w:val="Heading2"/>
      </w:pPr>
      <w:r>
        <w:t xml:space="preserve">4. Interpretation of the pole</w:t>
      </w:r>
    </w:p>
    <w:p>
      <w:pPr>
        <w:pStyle w:val="FirstParagraph"/>
      </w:pPr>
      <w:r>
        <w:t xml:space="preserve">Synthesise the register, lexical, and example evidence into a coherent interpretation of this pole as a discourse dimension.</w:t>
      </w:r>
    </w:p>
    <w:bookmarkEnd w:id="23"/>
    <w:bookmarkStart w:id="24" w:name="candidate-labels"/>
    <w:p>
      <w:pPr>
        <w:pStyle w:val="Heading2"/>
      </w:pPr>
      <w:r>
        <w:t xml:space="preserve">5. Candidate labels</w:t>
      </w:r>
    </w:p>
    <w:p>
      <w:pPr>
        <w:pStyle w:val="FirstParagraph"/>
      </w:pPr>
      <w:r>
        <w:t xml:space="preserve">Propose one preferred label and 2–4 alternative labels. Each label should be a concise noun phrase that captures the discourse function of the pole rather than merely naming the dominant register. Briefly justify each label.</w:t>
      </w:r>
    </w:p>
    <w:bookmarkEnd w:id="24"/>
    <w:bookmarkStart w:id="25" w:name="caveats"/>
    <w:p>
      <w:pPr>
        <w:pStyle w:val="Heading2"/>
      </w:pPr>
      <w:r>
        <w:t xml:space="preserve">6. Caveats</w:t>
      </w:r>
    </w:p>
    <w:p>
      <w:pPr>
        <w:pStyle w:val="FirstParagraph"/>
      </w:pPr>
      <w:r>
        <w:t xml:space="preserve">Mention any uncertainty, sparse evidence, mixed evidence, or limitations in the interpretation.</w:t>
      </w:r>
    </w:p>
    <w:p>
      <w:r>
        <w:pict>
          <v:rect style="width:0;height:1.5pt" o:hralign="center" o:hrstd="t" o:hr="t"/>
        </w:pict>
      </w:r>
    </w:p>
    <w:bookmarkEnd w:id="25"/>
    <w:bookmarkStart w:id="26" w:name="Xfe124c700aea609376e6e8acf3e32a20be0484e"/>
    <w:p>
      <w:pPr>
        <w:pStyle w:val="Heading2"/>
      </w:pPr>
      <w:r>
        <w:t xml:space="preserve">Mean factor scores of the registers in this pole</w:t>
      </w:r>
    </w:p>
    <w:p>
      <w:pPr>
        <w:pStyle w:val="FirstParagraph"/>
      </w:pPr>
      <w:r>
        <w:rPr>
          <w:bCs/>
          <w:b/>
        </w:rPr>
        <w:t xml:space="preserve">R-Square:</w:t>
      </w:r>
      <w:r>
        <w:t xml:space="preserve"> </w:t>
      </w:r>
      <w:r>
        <w:t xml:space="preserve">0.370927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Registers</w:t>
            </w:r>
          </w:p>
        </w:tc>
        <w:tc>
          <w:tcPr/>
          <w:p>
            <w:pPr>
              <w:pStyle w:val="Compact"/>
              <w:jc w:val="right"/>
            </w:pPr>
            <w:r>
              <w:t xml:space="preserve">Number of texts</w:t>
            </w:r>
          </w:p>
        </w:tc>
        <w:tc>
          <w:tcPr/>
          <w:p>
            <w:pPr>
              <w:pStyle w:val="Compact"/>
              <w:jc w:val="right"/>
            </w:pPr>
            <w:r>
              <w:t xml:space="preserve">Mean</w:t>
            </w:r>
          </w:p>
        </w:tc>
        <w:tc>
          <w:tcPr/>
          <w:p>
            <w:pPr>
              <w:pStyle w:val="Compact"/>
              <w:jc w:val="right"/>
            </w:pPr>
            <w:r>
              <w:t xml:space="preserve">Std Dev</w:t>
            </w:r>
          </w:p>
        </w:tc>
      </w:tr>
      <w:tr>
        <w:tc>
          <w:tcPr/>
          <w:p>
            <w:pPr>
              <w:pStyle w:val="Compact"/>
              <w:jc w:val="left"/>
            </w:pPr>
            <w:r>
              <w:t xml:space="preserve">acad</w:t>
            </w:r>
          </w:p>
        </w:tc>
        <w:tc>
          <w:tcPr/>
          <w:p>
            <w:pPr>
              <w:pStyle w:val="Compact"/>
              <w:jc w:val="right"/>
            </w:pPr>
            <w:r>
              <w:t xml:space="preserve">368</w:t>
            </w:r>
          </w:p>
        </w:tc>
        <w:tc>
          <w:tcPr/>
          <w:p>
            <w:pPr>
              <w:pStyle w:val="Compact"/>
              <w:jc w:val="right"/>
            </w:pPr>
            <w:r>
              <w:t xml:space="preserve">6.2201087</w:t>
            </w:r>
          </w:p>
        </w:tc>
        <w:tc>
          <w:tcPr/>
          <w:p>
            <w:pPr>
              <w:pStyle w:val="Compact"/>
              <w:jc w:val="right"/>
            </w:pPr>
            <w:r>
              <w:t xml:space="preserve">4.7873503</w:t>
            </w:r>
          </w:p>
        </w:tc>
      </w:tr>
      <w:tr>
        <w:tc>
          <w:tcPr/>
          <w:p>
            <w:pPr>
              <w:pStyle w:val="Compact"/>
              <w:jc w:val="left"/>
            </w:pPr>
            <w:r>
              <w:t xml:space="preserve">blog</w:t>
            </w:r>
          </w:p>
        </w:tc>
        <w:tc>
          <w:tcPr/>
          <w:p>
            <w:pPr>
              <w:pStyle w:val="Compact"/>
              <w:jc w:val="right"/>
            </w:pPr>
            <w:r>
              <w:t xml:space="preserve">288</w:t>
            </w:r>
          </w:p>
        </w:tc>
        <w:tc>
          <w:tcPr/>
          <w:p>
            <w:pPr>
              <w:pStyle w:val="Compact"/>
              <w:jc w:val="right"/>
            </w:pPr>
            <w:r>
              <w:t xml:space="preserve">4.6770833</w:t>
            </w:r>
          </w:p>
        </w:tc>
        <w:tc>
          <w:tcPr/>
          <w:p>
            <w:pPr>
              <w:pStyle w:val="Compact"/>
              <w:jc w:val="right"/>
            </w:pPr>
            <w:r>
              <w:t xml:space="preserve">5.0788105</w:t>
            </w:r>
          </w:p>
        </w:tc>
      </w:tr>
      <w:tr>
        <w:tc>
          <w:tcPr/>
          <w:p>
            <w:pPr>
              <w:pStyle w:val="Compact"/>
              <w:jc w:val="left"/>
            </w:pPr>
            <w:r>
              <w:t xml:space="preserve">book</w:t>
            </w:r>
          </w:p>
        </w:tc>
        <w:tc>
          <w:tcPr/>
          <w:p>
            <w:pPr>
              <w:pStyle w:val="Compact"/>
              <w:jc w:val="right"/>
            </w:pPr>
            <w:r>
              <w:t xml:space="preserve">31</w:t>
            </w:r>
          </w:p>
        </w:tc>
        <w:tc>
          <w:tcPr/>
          <w:p>
            <w:pPr>
              <w:pStyle w:val="Compact"/>
              <w:jc w:val="right"/>
            </w:pPr>
            <w:r>
              <w:t xml:space="preserve">19.1612903</w:t>
            </w:r>
          </w:p>
        </w:tc>
        <w:tc>
          <w:tcPr/>
          <w:p>
            <w:pPr>
              <w:pStyle w:val="Compact"/>
              <w:jc w:val="right"/>
            </w:pPr>
            <w:r>
              <w:t xml:space="preserve">10.3990281</w:t>
            </w:r>
          </w:p>
        </w:tc>
      </w:tr>
      <w:tr>
        <w:tc>
          <w:tcPr/>
          <w:p>
            <w:pPr>
              <w:pStyle w:val="Compact"/>
              <w:jc w:val="left"/>
            </w:pPr>
            <w:r>
              <w:t xml:space="preserve">docu</w:t>
            </w:r>
          </w:p>
        </w:tc>
        <w:tc>
          <w:tcPr/>
          <w:p>
            <w:pPr>
              <w:pStyle w:val="Compact"/>
              <w:jc w:val="right"/>
            </w:pPr>
            <w:r>
              <w:t xml:space="preserve">96</w:t>
            </w:r>
          </w:p>
        </w:tc>
        <w:tc>
          <w:tcPr/>
          <w:p>
            <w:pPr>
              <w:pStyle w:val="Compact"/>
              <w:jc w:val="right"/>
            </w:pPr>
            <w:r>
              <w:t xml:space="preserve">7.2916667</w:t>
            </w:r>
          </w:p>
        </w:tc>
        <w:tc>
          <w:tcPr/>
          <w:p>
            <w:pPr>
              <w:pStyle w:val="Compact"/>
              <w:jc w:val="right"/>
            </w:pPr>
            <w:r>
              <w:t xml:space="preserve">4.0572655</w:t>
            </w:r>
          </w:p>
        </w:tc>
      </w:tr>
      <w:tr>
        <w:tc>
          <w:tcPr/>
          <w:p>
            <w:pPr>
              <w:pStyle w:val="Compact"/>
              <w:jc w:val="left"/>
            </w:pPr>
            <w:r>
              <w:t xml:space="preserve">fb</w:t>
            </w:r>
          </w:p>
        </w:tc>
        <w:tc>
          <w:tcPr/>
          <w:p>
            <w:pPr>
              <w:pStyle w:val="Compact"/>
              <w:jc w:val="right"/>
            </w:pPr>
            <w:r>
              <w:t xml:space="preserve">675</w:t>
            </w:r>
          </w:p>
        </w:tc>
        <w:tc>
          <w:tcPr/>
          <w:p>
            <w:pPr>
              <w:pStyle w:val="Compact"/>
              <w:jc w:val="right"/>
            </w:pPr>
            <w:r>
              <w:t xml:space="preserve">1.0444444</w:t>
            </w:r>
          </w:p>
        </w:tc>
        <w:tc>
          <w:tcPr/>
          <w:p>
            <w:pPr>
              <w:pStyle w:val="Compact"/>
              <w:jc w:val="right"/>
            </w:pPr>
            <w:r>
              <w:t xml:space="preserve">1.9029365</w:t>
            </w:r>
          </w:p>
        </w:tc>
      </w:tr>
      <w:tr>
        <w:tc>
          <w:tcPr/>
          <w:p>
            <w:pPr>
              <w:pStyle w:val="Compact"/>
              <w:jc w:val="left"/>
            </w:pPr>
            <w:r>
              <w:t xml:space="preserve">fiction</w:t>
            </w:r>
          </w:p>
        </w:tc>
        <w:tc>
          <w:tcPr/>
          <w:p>
            <w:pPr>
              <w:pStyle w:val="Compact"/>
              <w:jc w:val="right"/>
            </w:pPr>
            <w:r>
              <w:t xml:space="preserve">36</w:t>
            </w:r>
          </w:p>
        </w:tc>
        <w:tc>
          <w:tcPr/>
          <w:p>
            <w:pPr>
              <w:pStyle w:val="Compact"/>
              <w:jc w:val="right"/>
            </w:pPr>
            <w:r>
              <w:t xml:space="preserve">14.0000000</w:t>
            </w:r>
          </w:p>
        </w:tc>
        <w:tc>
          <w:tcPr/>
          <w:p>
            <w:pPr>
              <w:pStyle w:val="Compact"/>
              <w:jc w:val="right"/>
            </w:pPr>
            <w:r>
              <w:t xml:space="preserve">2.7774603</w:t>
            </w:r>
          </w:p>
        </w:tc>
      </w:tr>
      <w:tr>
        <w:tc>
          <w:tcPr/>
          <w:p>
            <w:pPr>
              <w:pStyle w:val="Compact"/>
              <w:jc w:val="left"/>
            </w:pPr>
            <w:r>
              <w:t xml:space="preserve">film</w:t>
            </w:r>
          </w:p>
        </w:tc>
        <w:tc>
          <w:tcPr/>
          <w:p>
            <w:pPr>
              <w:pStyle w:val="Compact"/>
              <w:jc w:val="right"/>
            </w:pPr>
            <w:r>
              <w:t xml:space="preserve">27</w:t>
            </w:r>
          </w:p>
        </w:tc>
        <w:tc>
          <w:tcPr/>
          <w:p>
            <w:pPr>
              <w:pStyle w:val="Compact"/>
              <w:jc w:val="right"/>
            </w:pPr>
            <w:r>
              <w:t xml:space="preserve">4.2592593</w:t>
            </w:r>
          </w:p>
        </w:tc>
        <w:tc>
          <w:tcPr/>
          <w:p>
            <w:pPr>
              <w:pStyle w:val="Compact"/>
              <w:jc w:val="right"/>
            </w:pPr>
            <w:r>
              <w:t xml:space="preserve">2.6688026</w:t>
            </w:r>
          </w:p>
        </w:tc>
      </w:tr>
      <w:tr>
        <w:tc>
          <w:tcPr/>
          <w:p>
            <w:pPr>
              <w:pStyle w:val="Compact"/>
              <w:jc w:val="left"/>
            </w:pPr>
            <w:r>
              <w:t xml:space="preserve">insta</w:t>
            </w:r>
          </w:p>
        </w:tc>
        <w:tc>
          <w:tcPr/>
          <w:p>
            <w:pPr>
              <w:pStyle w:val="Compact"/>
              <w:jc w:val="right"/>
            </w:pPr>
            <w:r>
              <w:t xml:space="preserve">583</w:t>
            </w:r>
          </w:p>
        </w:tc>
        <w:tc>
          <w:tcPr/>
          <w:p>
            <w:pPr>
              <w:pStyle w:val="Compact"/>
              <w:jc w:val="right"/>
            </w:pPr>
            <w:r>
              <w:t xml:space="preserve">1.2246998</w:t>
            </w:r>
          </w:p>
        </w:tc>
        <w:tc>
          <w:tcPr/>
          <w:p>
            <w:pPr>
              <w:pStyle w:val="Compact"/>
              <w:jc w:val="right"/>
            </w:pPr>
            <w:r>
              <w:t xml:space="preserve">2.0765274</w:t>
            </w:r>
          </w:p>
        </w:tc>
      </w:tr>
      <w:tr>
        <w:tc>
          <w:tcPr/>
          <w:p>
            <w:pPr>
              <w:pStyle w:val="Compact"/>
              <w:jc w:val="left"/>
            </w:pPr>
            <w:r>
              <w:t xml:space="preserve">magz</w:t>
            </w:r>
          </w:p>
        </w:tc>
        <w:tc>
          <w:tcPr/>
          <w:p>
            <w:pPr>
              <w:pStyle w:val="Compact"/>
              <w:jc w:val="right"/>
            </w:pPr>
            <w:r>
              <w:t xml:space="preserve">613</w:t>
            </w:r>
          </w:p>
        </w:tc>
        <w:tc>
          <w:tcPr/>
          <w:p>
            <w:pPr>
              <w:pStyle w:val="Compact"/>
              <w:jc w:val="right"/>
            </w:pPr>
            <w:r>
              <w:t xml:space="preserve">6.8156607</w:t>
            </w:r>
          </w:p>
        </w:tc>
        <w:tc>
          <w:tcPr/>
          <w:p>
            <w:pPr>
              <w:pStyle w:val="Compact"/>
              <w:jc w:val="right"/>
            </w:pPr>
            <w:r>
              <w:t xml:space="preserve">5.6508097</w:t>
            </w:r>
          </w:p>
        </w:tc>
      </w:tr>
      <w:tr>
        <w:tc>
          <w:tcPr/>
          <w:p>
            <w:pPr>
              <w:pStyle w:val="Compact"/>
              <w:jc w:val="left"/>
            </w:pPr>
            <w:r>
              <w:t xml:space="preserve">news</w:t>
            </w:r>
          </w:p>
        </w:tc>
        <w:tc>
          <w:tcPr/>
          <w:p>
            <w:pPr>
              <w:pStyle w:val="Compact"/>
              <w:jc w:val="right"/>
            </w:pPr>
            <w:r>
              <w:t xml:space="preserve">349</w:t>
            </w:r>
          </w:p>
        </w:tc>
        <w:tc>
          <w:tcPr/>
          <w:p>
            <w:pPr>
              <w:pStyle w:val="Compact"/>
              <w:jc w:val="right"/>
            </w:pPr>
            <w:r>
              <w:t xml:space="preserve">7.8051576</w:t>
            </w:r>
          </w:p>
        </w:tc>
        <w:tc>
          <w:tcPr/>
          <w:p>
            <w:pPr>
              <w:pStyle w:val="Compact"/>
              <w:jc w:val="right"/>
            </w:pPr>
            <w:r>
              <w:t xml:space="preserve">6.4871116</w:t>
            </w:r>
          </w:p>
        </w:tc>
      </w:tr>
      <w:tr>
        <w:tc>
          <w:tcPr/>
          <w:p>
            <w:pPr>
              <w:pStyle w:val="Compact"/>
              <w:jc w:val="left"/>
            </w:pPr>
            <w:r>
              <w:t xml:space="preserve">song</w:t>
            </w:r>
          </w:p>
        </w:tc>
        <w:tc>
          <w:tcPr/>
          <w:p>
            <w:pPr>
              <w:pStyle w:val="Compact"/>
              <w:jc w:val="right"/>
            </w:pPr>
            <w:r>
              <w:t xml:space="preserve">33</w:t>
            </w:r>
          </w:p>
        </w:tc>
        <w:tc>
          <w:tcPr/>
          <w:p>
            <w:pPr>
              <w:pStyle w:val="Compact"/>
              <w:jc w:val="right"/>
            </w:pPr>
            <w:r>
              <w:t xml:space="preserve">0.8181818</w:t>
            </w:r>
          </w:p>
        </w:tc>
        <w:tc>
          <w:tcPr/>
          <w:p>
            <w:pPr>
              <w:pStyle w:val="Compact"/>
              <w:jc w:val="right"/>
            </w:pPr>
            <w:r>
              <w:t xml:space="preserve">1.8278154</w:t>
            </w:r>
          </w:p>
        </w:tc>
      </w:tr>
      <w:tr>
        <w:tc>
          <w:tcPr/>
          <w:p>
            <w:pPr>
              <w:pStyle w:val="Compact"/>
              <w:jc w:val="left"/>
            </w:pPr>
            <w:r>
              <w:t xml:space="preserve">tuto</w:t>
            </w:r>
          </w:p>
        </w:tc>
        <w:tc>
          <w:tcPr/>
          <w:p>
            <w:pPr>
              <w:pStyle w:val="Compact"/>
              <w:jc w:val="right"/>
            </w:pPr>
            <w:r>
              <w:t xml:space="preserve">300</w:t>
            </w:r>
          </w:p>
        </w:tc>
        <w:tc>
          <w:tcPr/>
          <w:p>
            <w:pPr>
              <w:pStyle w:val="Compact"/>
              <w:jc w:val="right"/>
            </w:pPr>
            <w:r>
              <w:t xml:space="preserve">3.0100000</w:t>
            </w:r>
          </w:p>
        </w:tc>
        <w:tc>
          <w:tcPr/>
          <w:p>
            <w:pPr>
              <w:pStyle w:val="Compact"/>
              <w:jc w:val="right"/>
            </w:pPr>
            <w:r>
              <w:t xml:space="preserve">3.4120434</w:t>
            </w:r>
          </w:p>
        </w:tc>
      </w:tr>
      <w:tr>
        <w:tc>
          <w:tcPr/>
          <w:p>
            <w:pPr>
              <w:pStyle w:val="Compact"/>
              <w:jc w:val="left"/>
            </w:pPr>
            <w:r>
              <w:t xml:space="preserve">tvrad</w:t>
            </w:r>
          </w:p>
        </w:tc>
        <w:tc>
          <w:tcPr/>
          <w:p>
            <w:pPr>
              <w:pStyle w:val="Compact"/>
              <w:jc w:val="right"/>
            </w:pPr>
            <w:r>
              <w:t xml:space="preserve">126</w:t>
            </w:r>
          </w:p>
        </w:tc>
        <w:tc>
          <w:tcPr/>
          <w:p>
            <w:pPr>
              <w:pStyle w:val="Compact"/>
              <w:jc w:val="right"/>
            </w:pPr>
            <w:r>
              <w:t xml:space="preserve">5.1349206</w:t>
            </w:r>
          </w:p>
        </w:tc>
        <w:tc>
          <w:tcPr/>
          <w:p>
            <w:pPr>
              <w:pStyle w:val="Compact"/>
              <w:jc w:val="right"/>
            </w:pPr>
            <w:r>
              <w:t xml:space="preserve">4.3531197</w:t>
            </w:r>
          </w:p>
        </w:tc>
      </w:tr>
      <w:tr>
        <w:tc>
          <w:tcPr/>
          <w:p>
            <w:pPr>
              <w:pStyle w:val="Compact"/>
              <w:jc w:val="left"/>
            </w:pPr>
            <w:r>
              <w:t xml:space="preserve">tvse</w:t>
            </w:r>
          </w:p>
        </w:tc>
        <w:tc>
          <w:tcPr/>
          <w:p>
            <w:pPr>
              <w:pStyle w:val="Compact"/>
              <w:jc w:val="right"/>
            </w:pPr>
            <w:r>
              <w:t xml:space="preserve">159</w:t>
            </w:r>
          </w:p>
        </w:tc>
        <w:tc>
          <w:tcPr/>
          <w:p>
            <w:pPr>
              <w:pStyle w:val="Compact"/>
              <w:jc w:val="right"/>
            </w:pPr>
            <w:r>
              <w:t xml:space="preserve">2.0440252</w:t>
            </w:r>
          </w:p>
        </w:tc>
        <w:tc>
          <w:tcPr/>
          <w:p>
            <w:pPr>
              <w:pStyle w:val="Compact"/>
              <w:jc w:val="right"/>
            </w:pPr>
            <w:r>
              <w:t xml:space="preserve">2.0998671</w:t>
            </w:r>
          </w:p>
        </w:tc>
      </w:tr>
      <w:tr>
        <w:tc>
          <w:tcPr/>
          <w:p>
            <w:pPr>
              <w:pStyle w:val="Compact"/>
              <w:jc w:val="left"/>
            </w:pPr>
            <w:r>
              <w:t xml:space="preserve">tvsh</w:t>
            </w:r>
          </w:p>
        </w:tc>
        <w:tc>
          <w:tcPr/>
          <w:p>
            <w:pPr>
              <w:pStyle w:val="Compact"/>
              <w:jc w:val="right"/>
            </w:pPr>
            <w:r>
              <w:t xml:space="preserve">132</w:t>
            </w:r>
          </w:p>
        </w:tc>
        <w:tc>
          <w:tcPr/>
          <w:p>
            <w:pPr>
              <w:pStyle w:val="Compact"/>
              <w:jc w:val="right"/>
            </w:pPr>
            <w:r>
              <w:t xml:space="preserve">9.6439394</w:t>
            </w:r>
          </w:p>
        </w:tc>
        <w:tc>
          <w:tcPr/>
          <w:p>
            <w:pPr>
              <w:pStyle w:val="Compact"/>
              <w:jc w:val="right"/>
            </w:pPr>
            <w:r>
              <w:t xml:space="preserve">5.0932264</w:t>
            </w:r>
          </w:p>
        </w:tc>
      </w:tr>
      <w:tr>
        <w:tc>
          <w:tcPr/>
          <w:p>
            <w:pPr>
              <w:pStyle w:val="Compact"/>
              <w:jc w:val="left"/>
            </w:pPr>
            <w:r>
              <w:t xml:space="preserve">tw</w:t>
            </w:r>
          </w:p>
        </w:tc>
        <w:tc>
          <w:tcPr/>
          <w:p>
            <w:pPr>
              <w:pStyle w:val="Compact"/>
              <w:jc w:val="right"/>
            </w:pPr>
            <w:r>
              <w:t xml:space="preserve">872</w:t>
            </w:r>
          </w:p>
        </w:tc>
        <w:tc>
          <w:tcPr/>
          <w:p>
            <w:pPr>
              <w:pStyle w:val="Compact"/>
              <w:jc w:val="right"/>
            </w:pPr>
            <w:r>
              <w:t xml:space="preserve">0.9013761</w:t>
            </w:r>
          </w:p>
        </w:tc>
        <w:tc>
          <w:tcPr/>
          <w:p>
            <w:pPr>
              <w:pStyle w:val="Compact"/>
              <w:jc w:val="right"/>
            </w:pPr>
            <w:r>
              <w:t xml:space="preserve">1.7876725</w:t>
            </w:r>
          </w:p>
        </w:tc>
      </w:tr>
      <w:tr>
        <w:tc>
          <w:tcPr/>
          <w:p>
            <w:pPr>
              <w:pStyle w:val="Compact"/>
              <w:jc w:val="left"/>
            </w:pPr>
            <w:r>
              <w:t xml:space="preserve">vlog</w:t>
            </w:r>
          </w:p>
        </w:tc>
        <w:tc>
          <w:tcPr/>
          <w:p>
            <w:pPr>
              <w:pStyle w:val="Compact"/>
              <w:jc w:val="right"/>
            </w:pPr>
            <w:r>
              <w:t xml:space="preserve">18</w:t>
            </w:r>
          </w:p>
        </w:tc>
        <w:tc>
          <w:tcPr/>
          <w:p>
            <w:pPr>
              <w:pStyle w:val="Compact"/>
              <w:jc w:val="right"/>
            </w:pPr>
            <w:r>
              <w:t xml:space="preserve">2.8333333</w:t>
            </w:r>
          </w:p>
        </w:tc>
        <w:tc>
          <w:tcPr/>
          <w:p>
            <w:pPr>
              <w:pStyle w:val="Compact"/>
              <w:jc w:val="right"/>
            </w:pPr>
            <w:r>
              <w:t xml:space="preserve">2.1488711</w:t>
            </w:r>
          </w:p>
        </w:tc>
      </w:tr>
      <w:tr>
        <w:tc>
          <w:tcPr/>
          <w:p>
            <w:pPr>
              <w:pStyle w:val="Compact"/>
              <w:jc w:val="left"/>
            </w:pPr>
            <w:r>
              <w:t xml:space="preserve">web</w:t>
            </w:r>
          </w:p>
        </w:tc>
        <w:tc>
          <w:tcPr/>
          <w:p>
            <w:pPr>
              <w:pStyle w:val="Compact"/>
              <w:jc w:val="right"/>
            </w:pPr>
            <w:r>
              <w:t xml:space="preserve">323</w:t>
            </w:r>
          </w:p>
        </w:tc>
        <w:tc>
          <w:tcPr/>
          <w:p>
            <w:pPr>
              <w:pStyle w:val="Compact"/>
              <w:jc w:val="right"/>
            </w:pPr>
            <w:r>
              <w:t xml:space="preserve">5.4860681</w:t>
            </w:r>
          </w:p>
        </w:tc>
        <w:tc>
          <w:tcPr/>
          <w:p>
            <w:pPr>
              <w:pStyle w:val="Compact"/>
              <w:jc w:val="right"/>
            </w:pPr>
            <w:r>
              <w:t xml:space="preserve">5.4141198</w:t>
            </w:r>
          </w:p>
        </w:tc>
      </w:tr>
    </w:tbl>
    <w:bookmarkEnd w:id="26"/>
    <w:bookmarkStart w:id="27" w:name="lexical-loadings-in-this-pole"/>
    <w:p>
      <w:pPr>
        <w:pStyle w:val="Heading2"/>
      </w:pPr>
      <w:r>
        <w:t xml:space="preserve">Lexical loadings in this pole</w:t>
      </w:r>
    </w:p>
    <w:p>
      <w:pPr>
        <w:pStyle w:val="FirstParagraph"/>
      </w:pPr>
      <w:r>
        <w:t xml:space="preserve">Variables loading on this pole = 29</w:t>
      </w:r>
    </w:p>
    <w:p>
      <w:pPr>
        <w:pStyle w:val="BodyText"/>
      </w:pPr>
      <w:r>
        <w:t xml:space="preserve">menswear (0.72105), designer (0.71892), sportswear (0.62630), knit (0.62535), tailor (0.61080), couture (0.60197), weave (0.59181), boutique (0.57712), collection (0.54244), design (0.54060), inspire (0.52753), runway (0.51951), signature (0.51529), label (0.50553), cloth (0.48113), footwear (0.47753), fold (0.47618), award (0.46509), launch (0.42178), (publication (0.41215)), (pin (0.40906)), (roll (0.40766)), (fragrance (0.39355)), edition (0.38027), (hit (0.34315)), (bear (0.33141)), (career (0.32472)), (expand (0.32076)), (open (0.31204))</w:t>
      </w:r>
    </w:p>
    <w:bookmarkEnd w:id="27"/>
    <w:bookmarkStart w:id="28" w:name="X42a222ad06b225c22302324a738689386bdd8bf"/>
    <w:p>
      <w:pPr>
        <w:pStyle w:val="Heading2"/>
      </w:pPr>
      <w:r>
        <w:t xml:space="preserve">High-scoring example excerpts in this pole</w:t>
      </w:r>
    </w:p>
    <w:p>
      <w:pPr>
        <w:pStyle w:val="BlockText"/>
      </w:pPr>
      <w:r>
        <w:t xml:space="preserve">score = 40</w:t>
      </w:r>
      <w:r>
        <w:br/>
      </w:r>
      <w:r>
        <w:t xml:space="preserve">register = book</w:t>
      </w:r>
    </w:p>
    <w:bookmarkEnd w:id="28"/>
    <w:bookmarkStart w:id="32" w:name="contemporary-fashion"/>
    <w:p>
      <w:pPr>
        <w:pStyle w:val="Heading1"/>
      </w:pPr>
      <w:r>
        <w:t xml:space="preserve">Contemporary Fashion</w:t>
      </w:r>
    </w:p>
    <w:bookmarkStart w:id="29" w:name="joseph-abboud"/>
    <w:p>
      <w:pPr>
        <w:pStyle w:val="Heading2"/>
      </w:pPr>
      <w:r>
        <w:t xml:space="preserve">Joseph Abboud</w:t>
      </w:r>
    </w:p>
    <w:p>
      <w:pPr>
        <w:pStyle w:val="FirstParagraph"/>
      </w:pPr>
      <w:r>
        <w:rPr>
          <w:bCs/>
          <w:b/>
        </w:rPr>
        <w:t xml:space="preserve">American designer</w:t>
      </w:r>
    </w:p>
    <w:p>
      <w:pPr>
        <w:pStyle w:val="BodyText"/>
      </w:pPr>
      <w:r>
        <w:rPr>
          <w:bCs/>
          <w:b/>
        </w:rPr>
        <w:t xml:space="preserve">Born:</w:t>
      </w:r>
      <w:r>
        <w:t xml:space="preserve"> </w:t>
      </w:r>
      <w:r>
        <w:t xml:space="preserve">Boston, Massachusetts, 5 May 1950.</w:t>
      </w:r>
      <w:r>
        <w:br/>
      </w:r>
      <w:r>
        <w:rPr>
          <w:bCs/>
          <w:b/>
        </w:rPr>
        <w:t xml:space="preserve">Education:</w:t>
      </w:r>
      <w:r>
        <w:t xml:space="preserve"> </w:t>
      </w:r>
      <w:r>
        <w:t xml:space="preserve">Studied comparative literature, University of Massachusetts, Boston, 1968–72; also studied at the Sorbonne.</w:t>
      </w:r>
      <w:r>
        <w:br/>
      </w:r>
      <w:r>
        <w:rPr>
          <w:bCs/>
          <w:b/>
        </w:rPr>
        <w:t xml:space="preserve">Family:</w:t>
      </w:r>
      <w:r>
        <w:t xml:space="preserve"> </w:t>
      </w:r>
      <w:r>
        <w:t xml:space="preserve">Married Lynn Weinstein, 6 June 1976; children: Lila, Ari.</w:t>
      </w:r>
      <w:r>
        <w:br/>
      </w:r>
      <w:r>
        <w:rPr>
          <w:bCs/>
          <w:b/>
        </w:rPr>
        <w:t xml:space="preserve">Career:</w:t>
      </w:r>
      <w:r>
        <w:t xml:space="preserve"> </w:t>
      </w:r>
      <w:r>
        <w:t xml:space="preserve">Buyer, then director of merchandise, Louis of Boston, 1968–80; designer, Southwick, 1980; associate director of menswear design, Polo/Ralph Lauren, New York, 1980–84; launched signature menswear collection, 1986; designer, Barry Bricken, New York, 1987–88. J.A. (Joseph Abboud) Apparel Corporation, a joint venture with GFT USA, formed, 1988; Joseph Abboud Womenswear and menswear collection of tailored clothing and furnishings introduced, 1990; opened first retail store, Boston, 1990; collections first shown in Europe, 1990; JA II line introduced, 1991; fragrance line introduced in Japan, 1992, in America, 1993; introduced J.O.E. (Just One Earth) sportswear line, 1992; designed wardrobes for male television announcers for 1992 Winter Olympics, Albertville, France, 1992; Joseph Abboud Environments bed and bath collection launched, 1993; Joseph Abboud fragrance launched, 1994; formed Joseph Abboud Worldwide to oversee labels and licensing, 1996; forged strategic partnership with GFT, 1997; introduced black label line for men, 1999; company acquired by GFT for $65 million, 2000.</w:t>
      </w:r>
      <w:r>
        <w:br/>
      </w:r>
      <w:r>
        <w:rPr>
          <w:bCs/>
          <w:b/>
        </w:rPr>
        <w:t xml:space="preserve">Awards:</w:t>
      </w:r>
      <w:r>
        <w:t xml:space="preserve"> </w:t>
      </w:r>
      <w:r>
        <w:t xml:space="preserve">Cutty Sark award, 1988; Woolmark award, 1988; Menswear Designer of the Year award from Council of Fashion Designers of America Award, 1989, 1990; honored by Japanese Government in conjunction with the Association of Total Fashion in Osaka, 1993; Special Achievement award from Neckwear Association of America Inc., 1994.</w:t>
      </w:r>
      <w:r>
        <w:br/>
      </w:r>
      <w:r>
        <w:rPr>
          <w:bCs/>
          <w:b/>
        </w:rPr>
        <w:t xml:space="preserve">Address:</w:t>
      </w:r>
      <w:r>
        <w:t xml:space="preserve"> </w:t>
      </w:r>
      <w:r>
        <w:t xml:space="preserve">650 Fifth Avenue, New York, New York 10019, USA.</w:t>
      </w:r>
    </w:p>
    <w:p>
      <w:pPr>
        <w:pStyle w:val="BodyText"/>
      </w:pPr>
      <w:r>
        <w:t xml:space="preserve">Joseph Abboud has said that his clothing is as much about lifestyle as design. Since 1986, after breaking away from Ralph Lauren, he has filled a niche in the fashion world with his creations for men and, more recently, for women as well. For the contemporary individual seeking a façade that is as casual, elegant, and as international as the accompanying life, the Abboud wardrobe offers comfort, beauty, and a modernity that is equally suitable in New York, Milan, or Australia. Abboud was the first menswear designer in the United States to revolutionize the concept of American style.</w:t>
      </w:r>
    </w:p>
    <w:p>
      <w:pPr>
        <w:pStyle w:val="BodyText"/>
      </w:pPr>
      <w:r>
        <w:t xml:space="preserve">Born in Boston, Abboud is hardly provincial. Something of an outsider, he did not come to fashion through the usual design school training and had no pre-established world in which to fit. Instead he made his own. His approach to fashion was via studies in comparative literature, followed by study at the Sorbonne in Paris. His fall 1990 menswear collection Grand Tour pays homage to that experience with its romantic 1930s and 1940s designs, reminiscent of Hemingway, while his own rich ethnic background provided the depth of appreciation for global culture inherent in his work.</w:t>
      </w:r>
    </w:p>
    <w:p>
      <w:pPr>
        <w:pStyle w:val="BodyText"/>
      </w:pPr>
      <w:r>
        <w:t xml:space="preserve">Coming of age in the 1960s, Abboud began collecting early Turkish kilims, flat woven rugs with salient handcrafted quality and stylized geometric patterns. These motifs form a recurring theme in his work, from handknit sweaters to machine-knit shirts. The rugs themselves, in muted earthtones, complement the calm, natural environment of the Abboud stores. For Abboud, the presentation of the clothing mimics the aesthetics of the garments: soft, casual, and elegant in its simplicity.</w:t>
      </w:r>
    </w:p>
    <w:p>
      <w:pPr>
        <w:pStyle w:val="BodyText"/>
      </w:pPr>
      <w:r>
        <w:t xml:space="preserve">Color, texture, and the cut of Abboud fashions express a style that lies between, and sometimes overlaps, that of Ralph Lauren and Giorgio Armani. The palette of the Joseph Abboud and the 1992 J.O.E. lines for both sexes is more subtle than the traditional Anglo-American colors of the preppie or Sloane Ranger genre, yet more varied in tone and hue than the sublimely unstated Armani colors. Neutrals from burnt sienna to cream, stucco, straw, and the colors of winter birch, together with naturals such as indigo and faded burgundy, are examples of some of the most alluring of Abboud dyestuffs.</w:t>
      </w:r>
    </w:p>
    <w:p>
      <w:pPr>
        <w:pStyle w:val="BodyText"/>
      </w:pPr>
      <w:r>
        <w:t xml:space="preserve">The Pacific Northwest Collection, fall 1987, manifested rich hues, from black to maroon, but even these were harmonious, never ostentatious. The black of his leather jackets, fall 1992, appears like soft patches of the night sky due to the suppleness and unique surface treatment of the skins. The fabrics for Abboud designs represent the artist’s diligent search for the world’s finest materials and craftsmanship. His respect for textile traditions does not mean that his work is retrospective, but that his inventiveness is grounded in the integrity of the classics. His interpretation of tweed, for example, although based on fine Scottish wool weavings, differs from conventional Harris-type tweed. Silk, alpaca, or llama are occasionally combined with traditional wool to yield a lighter fabric.</w:t>
      </w:r>
    </w:p>
    <w:p>
      <w:pPr>
        <w:pStyle w:val="BodyText"/>
      </w:pPr>
      <w:r>
        <w:t xml:space="preserve">Unique and demanding in his working methods, Abboud is at the forefront of contemporary fashion-fabric design. His fabrics drape with a grace and elegance that is enhanced by the oversize cut and fluid lines of his suits. His characteristically full, double-pleated trousers, for example, are luxurious. The romantic malt mohair gossamer-like fabrics for women in the fall 1993 collection are cut simply with no extraneous details. Even the intricate embroideries that ornament the surfaces of many of his most memorable designs, from North African suede vests with a Kashmiri boteh design to the jewel-like beadwork for evening, have a wearability uncommon in contemporary artistic fashion.</w:t>
      </w:r>
    </w:p>
    <w:p>
      <w:pPr>
        <w:pStyle w:val="BodyText"/>
      </w:pPr>
      <w:r>
        <w:t xml:space="preserve">Nature is Abboud’s muse. Beyond the obvious J.O.E. line appellation, the theme of the bucolic environment provides inspiration for the garments. Country stone walls, pebbles on a beach, and the light and earthtones of the Southwest are interpreted in exquisitely cut fabrics that embrace the body with a style that becomes an individual’s second skin.</w:t>
      </w:r>
    </w:p>
    <w:p>
      <w:pPr>
        <w:pStyle w:val="BodyText"/>
      </w:pPr>
      <w:r>
        <w:t xml:space="preserve">Abboud’s easy, elegant style had translated into a $100 million business by 1997, with overseas sales accounting for about 35 percent of turnover. It was considered a healthy operation, but did not reach the heights of some of his better-known peers. In 1998 Abboud sought to boost his profile by entering into a strategic alliance with his 10-year licensee GFT USA, a subsidiary of the Italian company Holding de Participazioni Industriali (HdP). With the move, he hoped to increase synergies between Joseph Abboud Worldwide and GFT’s J.A. Apparel subsidiary, both formed in 1996. The two businesses developed an integrated management structure and increased coordination among licensees.</w:t>
      </w:r>
    </w:p>
    <w:p>
      <w:pPr>
        <w:pStyle w:val="BodyText"/>
      </w:pPr>
      <w:r>
        <w:t xml:space="preserve">Abboud launched an upscale black label line for men over 35 in 1999, intending to supplement his existing upper-moderate tailored clothing business. The products are sold in the designer’s own shops and about 40 select doors at 10 leading retailers. They are manufactured in the U.S. using European fabrics.</w:t>
      </w:r>
    </w:p>
    <w:p>
      <w:pPr>
        <w:pStyle w:val="BodyText"/>
      </w:pPr>
      <w:r>
        <w:t xml:space="preserve">In 2000 Abboud further cemented his relationship with GFT when the latter purchased Abboud’s label and licensing rights for $65 million. Abboud planned to continue as creative director and chairman emeritus for at least five years. The Abboud labels generated an estimated $250 million in sales in 2000, with about 80 percent of that business from GFT, which produces and distributes Abboud’s black and diamond label tailored clothing, sportswear, and golfwear. The remaining sales come from 27 other licensees; Abboud’s licensed lines include fragrances, furs, coats, lounge- and sleepwear, swimwear, timepieces, and home furnishings.</w:t>
      </w:r>
    </w:p>
    <w:p>
      <w:pPr>
        <w:pStyle w:val="BodyText"/>
      </w:pPr>
      <w:r>
        <w:t xml:space="preserve">The GFT acquisition will enable expansion in key areas such as international distribution, golf, and women’s wear, as well as boosting the company’s retailing operation and enhancing the Joseph Abboud Environments bed and bath collection. GFT and Abboud are also considering the introduction of new collections, such as one geared toward younger men.</w:t>
      </w:r>
    </w:p>
    <w:p>
      <w:pPr>
        <w:pStyle w:val="BodyText"/>
      </w:pPr>
      <w:r>
        <w:t xml:space="preserve">Abboud’s business, at times, has been overshadowed by trendier labels such as Tommy Hilfiger, as well as by Italian designers who appeal to the same clientele. But his customer base—which includes several high-profile sports anchors and news anchor Bryant Gumbel—has long been loyal to his earthy colors, use of texture, and ability to combine the classic with the modern.</w:t>
      </w:r>
    </w:p>
    <w:p>
      <w:pPr>
        <w:pStyle w:val="BodyText"/>
      </w:pPr>
      <w:r>
        <w:t xml:space="preserve">—Marianne T. Carlano; updated by Karen Raugust</w:t>
      </w:r>
    </w:p>
    <w:bookmarkEnd w:id="29"/>
    <w:bookmarkStart w:id="30" w:name="jean-paul-gaultier"/>
    <w:p>
      <w:pPr>
        <w:pStyle w:val="Heading2"/>
      </w:pPr>
      <w:r>
        <w:t xml:space="preserve">Jean-Paul Gaultier</w:t>
      </w:r>
    </w:p>
    <w:p>
      <w:pPr>
        <w:pStyle w:val="FirstParagraph"/>
      </w:pPr>
      <w:r>
        <w:rPr>
          <w:bCs/>
          <w:b/>
        </w:rPr>
        <w:t xml:space="preserve">French designer</w:t>
      </w:r>
    </w:p>
    <w:p>
      <w:pPr>
        <w:pStyle w:val="BodyText"/>
      </w:pPr>
      <w:r>
        <w:rPr>
          <w:bCs/>
          <w:b/>
        </w:rPr>
        <w:t xml:space="preserve">Born:</w:t>
      </w:r>
      <w:r>
        <w:t xml:space="preserve"> </w:t>
      </w:r>
      <w:r>
        <w:t xml:space="preserve">Arcueil, France, 24 April 1952.</w:t>
      </w:r>
      <w:r>
        <w:br/>
      </w:r>
      <w:r>
        <w:rPr>
          <w:bCs/>
          <w:b/>
        </w:rPr>
        <w:t xml:space="preserve">Education:</w:t>
      </w:r>
      <w:r>
        <w:t xml:space="preserve"> </w:t>
      </w:r>
      <w:r>
        <w:t xml:space="preserve">Educated at the École Communale, the College d’Enseignement, and at the Lycée d’Arcueil, to 1969.</w:t>
      </w:r>
      <w:r>
        <w:br/>
      </w:r>
      <w:r>
        <w:rPr>
          <w:bCs/>
          <w:b/>
        </w:rPr>
        <w:t xml:space="preserve">Career:</w:t>
      </w:r>
      <w:r>
        <w:t xml:space="preserve"> </w:t>
      </w:r>
      <w:r>
        <w:t xml:space="preserve">Design assistant, Pierre Cardin, 1972–74; also worked for Esterel and Patou; designer, Cardin (U.S.) Collection, working in the Philippines, 1974–75; designer, Majago, Paris, 1976–78; founder, Jean Paul Gaultier S.A., from 1978; menswear line introduced, 1984; Junior Gaultier line introduced, 1987; furniture line introduced, 1992; licenses include jewelry, from 1988, perfumes, from 1991, and jeans, from 1992; created controversy with line inspired by male Hasidic Jewish apparel, 1993; opened his own couture house, 1997; created costumes for several films, 1980s and 1990s; stake in his company acquired by Hermès, 1999; renewed fragrance license, 2000.</w:t>
      </w:r>
      <w:r>
        <w:br/>
      </w:r>
      <w:r>
        <w:rPr>
          <w:bCs/>
          <w:b/>
        </w:rPr>
        <w:t xml:space="preserve">Awards:</w:t>
      </w:r>
      <w:r>
        <w:t xml:space="preserve"> </w:t>
      </w:r>
      <w:r>
        <w:t xml:space="preserve">Fashion Oscar award, Paris, 1987.</w:t>
      </w:r>
      <w:r>
        <w:br/>
      </w:r>
      <w:r>
        <w:rPr>
          <w:bCs/>
          <w:b/>
        </w:rPr>
        <w:t xml:space="preserve">Address:</w:t>
      </w:r>
      <w:r>
        <w:t xml:space="preserve"> </w:t>
      </w:r>
      <w:r>
        <w:t xml:space="preserve">70 Galerie Vivienne, 75002 Paris, France.</w:t>
      </w:r>
      <w:r>
        <w:br/>
      </w:r>
      <w:r>
        <w:rPr>
          <w:bCs/>
          <w:b/>
        </w:rPr>
        <w:t xml:space="preserve">Website:</w:t>
      </w:r>
      <w:r>
        <w:t xml:space="preserve"> </w:t>
      </w:r>
      <w:r>
        <w:t xml:space="preserve">www.jpgaultier.fr.</w:t>
      </w:r>
    </w:p>
    <w:p>
      <w:pPr>
        <w:pStyle w:val="BodyText"/>
      </w:pPr>
      <w:r>
        <w:t xml:space="preserve">By injecting kitsch into couture, Jean-Paul Gaultier has redefined the traditionally elegant trappings of Paris fashion. He is a playful, good-natured iconoclast, glamorizing street style and cleaning it up for haute couture. By turns surreal but never completely bizarre, rebellious but always wearable, he has produced seductive, witty clothes which redefine notions of taste and elegance in dress.</w:t>
      </w:r>
    </w:p>
    <w:p>
      <w:pPr>
        <w:pStyle w:val="BodyText"/>
      </w:pPr>
      <w:r>
        <w:t xml:space="preserve">Gaultier’s eclectic source material, inherited from punk via the flea market, and an astute sense of the origins of style mean his clothes make constant historic and literary references, as opposed to the cool modernism of contemporaries such as Issey Miyake. This has been displayed in his use of heraldic motifs in the late 1980s and in a collection based on Toulouse-Lautrec in 1991.</w:t>
      </w:r>
    </w:p>
    <w:p>
      <w:pPr>
        <w:pStyle w:val="BodyText"/>
      </w:pPr>
      <w:r>
        <w:t xml:space="preserve">Gaultier challenges orthodox notions of the presentation of gender through both male and female dress and ignores the stereotypical femininity normally paraded on the catwalks of traditional Parisian haute couture. During his employment at Jean Patou, Gaultier recognized how most couturiers ignored the female form at the expense of the construction of a particular line. He was, on one occasion, horrified to see a model having to wear heavy bandages to suppress her breasts in order for the dress she was modelling to hang properly.</w:t>
      </w:r>
    </w:p>
    <w:p>
      <w:pPr>
        <w:pStyle w:val="BodyText"/>
      </w:pPr>
      <w:r>
        <w:t xml:space="preserve">This impulse eventually culminated in a controversial series of negotiations of the corset, stemming from his interest in the exaggerated definition of the female form it produced. In the 1980s he redefined this usually private, hidden garment, whose traditional function is to provide a structure from which to hang the more important outerwear, by recreating it as outerwear itself. One of these, the Corset Dress of 1982, commented astutely on femininity, constructing the breast less as a soft malleable object of passive attraction and more as an object of power, a female weapon, while also alluding to the conically stitched bras of the 1950s sweater girl. These ideas achieved mass attention when Gaultier designed the costumes for Madonna’s Blonde Ambition tour in 1990.</w:t>
      </w:r>
    </w:p>
    <w:p>
      <w:pPr>
        <w:pStyle w:val="BodyText"/>
      </w:pPr>
      <w:r>
        <w:t xml:space="preserve">By 1984 Gaultier had decided to move more directly into menswear. Through personal experience he could find nothing he really wanted, particularly in terms of sizing, and even unstructured Armani jackets seemed too small. He noticed that men had been buying his women’s jackets because of the unusual fabrics and cut, so he began his seminal reworking of the pinstriped suit for both men and women. He displayed a traditional male wardrobe by redesigning such classics as the navy blazer and Fair Isle jumper and dismantling clichés of masculine styling by producing skirts, corsets, and tutus for men. During one notorious catwalk show, female models smoked pipes and men paraded in transparent lace skirts. This acknowledgement of male narcissism and interest in the creation of erotic clothing for men, as shown in the Man-Object Collection of 1982, influenced designers such as Gianni Versace into the early and mid-1990s.</w:t>
      </w:r>
    </w:p>
    <w:p>
      <w:pPr>
        <w:pStyle w:val="BodyText"/>
      </w:pPr>
      <w:r>
        <w:t xml:space="preserve">Gaultier is perhaps best associated with the rise of popular interest in designer clothing in the mid-1980s. His redefinitions of traditional male tailoring made his clothes instantly recognizable among so-called fashion victims in most major European capitals, using details such as metal tips on collars and extended shoulder lines. Structured, fitted garments like jackets were reworked, being cut long and slim over the hips to mid-thigh to give an hourglass shape to the wearer’s physique.</w:t>
      </w:r>
    </w:p>
    <w:p>
      <w:pPr>
        <w:pStyle w:val="BodyText"/>
      </w:pPr>
      <w:r>
        <w:t xml:space="preserve">Gaultier has always been interested in new developments in fabric and intrigued by the design possibilities of modern artificial fibers. He is known for using unconventional fibers like neoprene. He uses fabrics outside of their usual context, such as chiffon for dungarees, resulting in a utilitarian garment being produced out of a delicate material traditionally associated with eveningwear. This juggling with expected practice directs him to produce items such as a willow-patterned printed textile incorporating the head of Mickey Mouse, and Aran sweaters elongated into dresses with the woollen bobbles taking the place of nipples.</w:t>
      </w:r>
    </w:p>
    <w:p>
      <w:pPr>
        <w:pStyle w:val="BodyText"/>
      </w:pPr>
      <w:r>
        <w:t xml:space="preserve">Gaultier rebels against the old school of Parisian couture but, because of his years of training within its system under Pierre Cardin, Jacques Esterel, and Jean Patou, he is a master craftsman. However avant-garde his collections may seem, they are always founded in technical brilliance and inventive tailoring and are able to convince because of the technique.</w:t>
      </w:r>
    </w:p>
    <w:p>
      <w:pPr>
        <w:pStyle w:val="BodyText"/>
      </w:pPr>
      <w:r>
        <w:t xml:space="preserve">While his kitschy designs in the late 1980s and early 1990s gave Gaultier a reputation as the enfant terrible of fashion, his fall 1998 collection—which featured beaded fisherman’s sweaters and formal tartan skirts—was one of many that impressed critics by being innovative yet wearable and elegant. Gaultier has noted that the 1990 AIDS death of his lover and business partner influenced his designs by making them simpler and more sober, with less aggression and toughness. After a time, however, he decided his designs were becoming too classic and went back to making the sexy, irreverent clothing for which he had been known.</w:t>
      </w:r>
    </w:p>
    <w:p>
      <w:pPr>
        <w:pStyle w:val="BodyText"/>
      </w:pPr>
      <w:r>
        <w:t xml:space="preserve">Gaultier’s interest in pulling together diverse cultures has continued, with his fall 1993 line being one of the most controversial examples, inspired by the traditional apparel of male Hasidic Jews. Other collections in the 1990s were influenced by the dress of Mongolia, the punk subculture of London, and Eskimo culture, among others. Mixed in were departures such as a 1996 tribute to Pierre Cardin and a 2000 line inspired by the 1970s television series</w:t>
      </w:r>
      <w:r>
        <w:t xml:space="preserve"> </w:t>
      </w:r>
      <w:r>
        <w:rPr>
          <w:iCs/>
          <w:i/>
        </w:rPr>
        <w:t xml:space="preserve">The Love Boat</w:t>
      </w:r>
      <w:r>
        <w:t xml:space="preserve">. Gaultier admits he watches television constantly, sometimes several programs at a time, to gain inspiration.</w:t>
      </w:r>
    </w:p>
    <w:p>
      <w:pPr>
        <w:pStyle w:val="BodyText"/>
      </w:pPr>
      <w:r>
        <w:t xml:space="preserve">Gaultier’s profile has been raised by his work as a costume designer for films such as Peter Greenaway’s</w:t>
      </w:r>
      <w:r>
        <w:t xml:space="preserve"> </w:t>
      </w:r>
      <w:r>
        <w:rPr>
          <w:iCs/>
          <w:i/>
        </w:rPr>
        <w:t xml:space="preserve">The Cook, the Thief, His Wife and Her Lover</w:t>
      </w:r>
      <w:r>
        <w:t xml:space="preserve"> </w:t>
      </w:r>
      <w:r>
        <w:t xml:space="preserve">(1989), Pedro Almodovar’s</w:t>
      </w:r>
      <w:r>
        <w:t xml:space="preserve"> </w:t>
      </w:r>
      <w:r>
        <w:rPr>
          <w:iCs/>
          <w:i/>
        </w:rPr>
        <w:t xml:space="preserve">Kika</w:t>
      </w:r>
      <w:r>
        <w:t xml:space="preserve"> </w:t>
      </w:r>
      <w:r>
        <w:t xml:space="preserve">(1993), and Luc Besson’s</w:t>
      </w:r>
      <w:r>
        <w:t xml:space="preserve"> </w:t>
      </w:r>
      <w:r>
        <w:rPr>
          <w:iCs/>
          <w:i/>
        </w:rPr>
        <w:t xml:space="preserve">The Fifth Element</w:t>
      </w:r>
      <w:r>
        <w:t xml:space="preserve"> </w:t>
      </w:r>
      <w:r>
        <w:t xml:space="preserve">(1997). He has also hosted a comedy series,</w:t>
      </w:r>
      <w:r>
        <w:t xml:space="preserve"> </w:t>
      </w:r>
      <w:r>
        <w:rPr>
          <w:iCs/>
          <w:i/>
        </w:rPr>
        <w:t xml:space="preserve">EuroTrash</w:t>
      </w:r>
      <w:r>
        <w:t xml:space="preserve">, on British television and created a line of furniture which included a two-person chair on wheels and a dresser constructed from luggage.</w:t>
      </w:r>
    </w:p>
    <w:p>
      <w:pPr>
        <w:pStyle w:val="BodyText"/>
      </w:pPr>
      <w:r>
        <w:t xml:space="preserve">Gaultier opened his own couture house in 1997, becoming just the second designer in three decades to create couture under his own label. Some of his most creative and praised collections have occurred since that time. From a strapless, feather-enhanced denim ball gown to a seashell-bodiced dress with a feather-covered skirt, he has won a reputation for apparel combining outrageous features with high-quality tailoring and detailing.</w:t>
      </w:r>
    </w:p>
    <w:p>
      <w:pPr>
        <w:pStyle w:val="BodyText"/>
      </w:pPr>
      <w:r>
        <w:t xml:space="preserve">French classic luxury goods company Hermès purchased a 35 percent stake in Gaultier’s operation for $23.1 million in 1999, a seemingly odd-couple pairing that caught the industry by surprise. The infusion of cash will help Gaultier expand his retail operation, take control of some of his licensing operations, such as jewelry, expand into new categories such as timepieces and footwear, and boost his international business.</w:t>
      </w:r>
    </w:p>
    <w:p>
      <w:pPr>
        <w:pStyle w:val="BodyText"/>
      </w:pPr>
      <w:r>
        <w:t xml:space="preserve">In 2000 Gaultier renewed his fragrance and cosmetics license with Shiseido and Beauté Prestige International, a longtime alliance known for its daring packaging. BPI launched Gaultier’s Fragile fragrance in 2000 with a highly publicized snow globe package featuring a tiny figure dressed in Gaultier couture. Meanwhile, the designer expanded his licensee list with the additions of companies such as Wolford, an Austrian luxury hosiery firm.</w:t>
      </w:r>
    </w:p>
    <w:p>
      <w:pPr>
        <w:pStyle w:val="BodyText"/>
      </w:pPr>
      <w:r>
        <w:t xml:space="preserve">Despite positive critical reviews and a high profile, Gaultier’s revenues have been lower than many other couture labels; the Hermès stake may cause this to change. But what will not change is Gaultier’s attention to hand-crafting and singular details, his gender- and culture-crossing designs, and his sense of fun.</w:t>
      </w:r>
    </w:p>
    <w:p>
      <w:pPr>
        <w:pStyle w:val="BodyText"/>
      </w:pPr>
      <w:r>
        <w:t xml:space="preserve">—Caroline Cox; updated by Karen Raugust</w:t>
      </w:r>
    </w:p>
    <w:bookmarkEnd w:id="30"/>
    <w:bookmarkStart w:id="31" w:name="gianni-versace"/>
    <w:p>
      <w:pPr>
        <w:pStyle w:val="Heading2"/>
      </w:pPr>
      <w:r>
        <w:t xml:space="preserve">Gianni Versace</w:t>
      </w:r>
    </w:p>
    <w:p>
      <w:pPr>
        <w:pStyle w:val="FirstParagraph"/>
      </w:pPr>
      <w:r>
        <w:rPr>
          <w:bCs/>
          <w:b/>
        </w:rPr>
        <w:t xml:space="preserve">Italian designer</w:t>
      </w:r>
    </w:p>
    <w:p>
      <w:pPr>
        <w:pStyle w:val="BodyText"/>
      </w:pPr>
      <w:r>
        <w:rPr>
          <w:bCs/>
          <w:b/>
        </w:rPr>
        <w:t xml:space="preserve">Born:</w:t>
      </w:r>
      <w:r>
        <w:t xml:space="preserve"> </w:t>
      </w:r>
      <w:r>
        <w:t xml:space="preserve">Reggio Calabria, Italy, 2 December 1946.</w:t>
      </w:r>
      <w:r>
        <w:br/>
      </w:r>
      <w:r>
        <w:rPr>
          <w:bCs/>
          <w:b/>
        </w:rPr>
        <w:t xml:space="preserve">Education:</w:t>
      </w:r>
      <w:r>
        <w:t xml:space="preserve"> </w:t>
      </w:r>
      <w:r>
        <w:t xml:space="preserve">Studied architecture, Calabria, 1964–67.</w:t>
      </w:r>
      <w:r>
        <w:br/>
      </w:r>
      <w:r>
        <w:rPr>
          <w:bCs/>
          <w:b/>
        </w:rPr>
        <w:t xml:space="preserve">Family:</w:t>
      </w:r>
      <w:r>
        <w:t xml:space="preserve"> </w:t>
      </w:r>
      <w:r>
        <w:t xml:space="preserve">Brother Santo, sister Donatella, and four nieces and nephews.</w:t>
      </w:r>
      <w:r>
        <w:br/>
      </w:r>
      <w:r>
        <w:rPr>
          <w:bCs/>
          <w:b/>
        </w:rPr>
        <w:t xml:space="preserve">Career:</w:t>
      </w:r>
      <w:r>
        <w:t xml:space="preserve"> </w:t>
      </w:r>
      <w:r>
        <w:t xml:space="preserve">Designer and buyer in Paris and London, for his mother’s dressmaking studio, 1968–72; freelance designer, Callaghan, Complice, Genny, Milan, 1972–77; formed own company, Milan, 1978; showed first womenswear collection, 1978, first menswear collection, 1979; signature fragrance introduced, 1981; home furnishings collection launched, 1993; launched Blonde fragrance and opened New York flagship store, 1996; introduced V2 diffusion line for 1997; firm continued after his death by siblings Donatella and Santo; Donatella took over designing duties, 1997; formed joint venture with Sunland Group for luxury hotels, 1999; plans to take the firm public, 2001–02.</w:t>
      </w:r>
      <w:r>
        <w:br/>
      </w:r>
      <w:r>
        <w:rPr>
          <w:bCs/>
          <w:b/>
        </w:rPr>
        <w:t xml:space="preserve">Exhibitions:</w:t>
      </w:r>
      <w:r>
        <w:t xml:space="preserve"> </w:t>
      </w:r>
      <w:r>
        <w:t xml:space="preserve">Galleria Rizzardi, Milan, 1982; Studio La Città, Verona, 1983; Galerie Focus, Munich, 1983;</w:t>
      </w:r>
      <w:r>
        <w:t xml:space="preserve"> </w:t>
      </w:r>
      <w:r>
        <w:rPr>
          <w:iCs/>
          <w:i/>
        </w:rPr>
        <w:t xml:space="preserve">Gianni Versace: dialogues de mode</w:t>
      </w:r>
      <w:r>
        <w:t xml:space="preserve">, Palais Galliera, Paris, 1986; retrospective, Fashion Institute of Technology, New York, 1992–93; Metropolitan Museum of Art, 1997.</w:t>
      </w:r>
      <w:r>
        <w:br/>
      </w:r>
      <w:r>
        <w:rPr>
          <w:bCs/>
          <w:b/>
        </w:rPr>
        <w:t xml:space="preserve">Awards:</w:t>
      </w:r>
      <w:r>
        <w:t xml:space="preserve"> </w:t>
      </w:r>
      <w:r>
        <w:t xml:space="preserve">Occhio d’Oro award, Milan, 1982, 1984, 1990, 1991; Cutty Sark award, 1983, 1988; CFDA International award, 1993.</w:t>
      </w:r>
      <w:r>
        <w:br/>
      </w:r>
      <w:r>
        <w:rPr>
          <w:bCs/>
          <w:b/>
        </w:rPr>
        <w:t xml:space="preserve">Died:</w:t>
      </w:r>
      <w:r>
        <w:t xml:space="preserve"> </w:t>
      </w:r>
      <w:r>
        <w:t xml:space="preserve">15 July 1997, in Miami, Florida.</w:t>
      </w:r>
      <w:r>
        <w:br/>
      </w:r>
      <w:r>
        <w:rPr>
          <w:bCs/>
          <w:b/>
        </w:rPr>
        <w:t xml:space="preserve">Company Address:</w:t>
      </w:r>
      <w:r>
        <w:t xml:space="preserve"> </w:t>
      </w:r>
      <w:r>
        <w:t xml:space="preserve">Via Gesu, 20121 Milan, Italy.</w:t>
      </w:r>
      <w:r>
        <w:br/>
      </w:r>
      <w:r>
        <w:rPr>
          <w:bCs/>
          <w:b/>
        </w:rPr>
        <w:t xml:space="preserve">Company Website:</w:t>
      </w:r>
      <w:r>
        <w:t xml:space="preserve"> </w:t>
      </w:r>
      <w:r>
        <w:t xml:space="preserve">www.versace.it.</w:t>
      </w:r>
    </w:p>
    <w:p>
      <w:pPr>
        <w:pStyle w:val="BodyText"/>
      </w:pPr>
      <w:r>
        <w:t xml:space="preserve">Versace insists that the important relationship with her children,</w:t>
      </w:r>
      <w:r>
        <w:t xml:space="preserve"> </w:t>
      </w:r>
      <w:r>
        <w:t xml:space="preserve">“</w:t>
      </w:r>
      <w:r>
        <w:t xml:space="preserve">our reality, our family,</w:t>
      </w:r>
      <w:r>
        <w:t xml:space="preserve">”</w:t>
      </w:r>
      <w:r>
        <w:t xml:space="preserve"> </w:t>
      </w:r>
      <w:r>
        <w:t xml:space="preserve">provides an appropriate anchor in her personal life as well as in her marriage to Beck.</w:t>
      </w:r>
    </w:p>
    <w:p>
      <w:pPr>
        <w:pStyle w:val="BodyText"/>
      </w:pPr>
      <w:r>
        <w:t xml:space="preserve">Versace’s leap to national prominence came in late 1997 when she delivered and showed the Versace collections on time, just three months after her brother was murdered.</w:t>
      </w:r>
      <w:r>
        <w:t xml:space="preserve"> </w:t>
      </w:r>
      <w:r>
        <w:rPr>
          <w:iCs/>
          <w:i/>
        </w:rPr>
        <w:t xml:space="preserve">The New York Times</w:t>
      </w:r>
      <w:r>
        <w:t xml:space="preserve"> </w:t>
      </w:r>
      <w:r>
        <w:t xml:space="preserve">wrote that</w:t>
      </w:r>
      <w:r>
        <w:t xml:space="preserve"> </w:t>
      </w:r>
      <w:r>
        <w:t xml:space="preserve">“</w:t>
      </w:r>
      <w:r>
        <w:t xml:space="preserve">in a state of mourning, with so much pressure and so much pain, [that] Ms. Versace could produce anything at all</w:t>
      </w:r>
      <w:r>
        <w:t xml:space="preserve">”</w:t>
      </w:r>
      <w:r>
        <w:t xml:space="preserve"> </w:t>
      </w:r>
      <w:r>
        <w:t xml:space="preserve">was remarkable.</w:t>
      </w:r>
    </w:p>
    <w:p>
      <w:pPr>
        <w:pStyle w:val="BodyText"/>
      </w:pPr>
      <w:r>
        <w:t xml:space="preserve">Donatella reinvented herself as the strong designing presence of Versace Couture when her role as muse and collaborator with her brother, Gianni, was instantly destroyed by the same bullet that killed him. A passionate feminist in her life as well as in the designs she produces, Donatella was determined not to give up the central position Versace Couture held under her brother’s reign. She continues to cultivate the celebrity crowd; designing, for example, the extraordinary palm-leaf printed gown that Jennifer Lopez wore at a Grammy Awards ceremony, and entertaining, either at her palazzo at Como or in the Versace family apartments in Milan, everyone who is anyone—or who wants to be seen.</w:t>
      </w:r>
    </w:p>
    <w:p>
      <w:pPr>
        <w:pStyle w:val="BodyText"/>
      </w:pPr>
      <w:r>
        <w:t xml:space="preserve">Donatella’s collections in recent years have concentrated on the sexy natural shape of a woman’s body, which may be an ideal but is certainly exemplified by Versace herself. Her use of clinging chiffons that hug every curve, subtle designs that follow those curves like a whisper, and sparkles of sequins highlighting those curves have perfected her look as</w:t>
      </w:r>
      <w:r>
        <w:t xml:space="preserve"> </w:t>
      </w:r>
      <w:r>
        <w:t xml:space="preserve">“</w:t>
      </w:r>
      <w:r>
        <w:t xml:space="preserve">maybe risqué, but not reckless.</w:t>
      </w:r>
      <w:r>
        <w:t xml:space="preserve">”</w:t>
      </w:r>
      <w:r>
        <w:t xml:space="preserve"> </w:t>
      </w:r>
      <w:r>
        <w:t xml:space="preserve">Her most recent ventures into giftware—Jungle from Versace, a Rosenthal fine porcelain for the table—and lifestyle hotels, including a six-star establishment on the Australian gold coast set to open in 2001, will certainly be successful.</w:t>
      </w:r>
    </w:p>
    <w:p>
      <w:pPr>
        <w:pStyle w:val="BodyText"/>
      </w:pPr>
      <w:r>
        <w:t xml:space="preserve">Versace never appears to suffer from the decline of the economy, having overcome</w:t>
      </w:r>
      <w:r>
        <w:t xml:space="preserve"> </w:t>
      </w:r>
      <w:r>
        <w:t xml:space="preserve">“</w:t>
      </w:r>
      <w:r>
        <w:t xml:space="preserve">crippling Italian inheritance taxes</w:t>
      </w:r>
      <w:r>
        <w:t xml:space="preserve">”</w:t>
      </w:r>
      <w:r>
        <w:t xml:space="preserve"> </w:t>
      </w:r>
      <w:r>
        <w:t xml:space="preserve">and a vast restructuring at the time of Gianni’s death. She is poised, full of the energy and naughty confidence that distinguished her youth, to mature into a major fashion leader independent of her brother but upholding the high standards of elegance, sensuality, and opulence that were and remain the Versace trademark.</w:t>
      </w:r>
    </w:p>
    <w:p>
      <w:pPr>
        <w:pStyle w:val="BodyText"/>
      </w:pPr>
      <w:r>
        <w:t xml:space="preserve">—Kathleen Bonann Marshall</w:t>
      </w:r>
    </w:p>
    <w:p>
      <w:r>
        <w:pict>
          <v:rect style="width:0;height:1.5pt" o:hralign="center" o:hrstd="t" o:hr="t"/>
        </w:pic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2026-08-09T18:27:55Z</dcterms:created>
  <dcterms:modified xsi:type="dcterms:W3CDTF">2026-08-09T18:27:55Z</dcterms:modified>
</cp:coreProperties>
</file>

<file path=docProps/custom.xml><?xml version="1.0" encoding="utf-8"?>
<Properties xmlns="http://schemas.openxmlformats.org/officeDocument/2006/custom-properties" xmlns:vt="http://schemas.openxmlformats.org/officeDocument/2006/docPropsVTypes"/>
</file>