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763A1" w14:textId="77777777" w:rsidR="00062C35" w:rsidRPr="002C6705" w:rsidRDefault="00000000">
      <w:pPr>
        <w:spacing w:after="120"/>
        <w:jc w:val="center"/>
        <w:rPr>
          <w:lang w:val="pt-BR"/>
        </w:rPr>
      </w:pPr>
      <w:r w:rsidRPr="002C6705">
        <w:rPr>
          <w:b/>
          <w:bCs/>
          <w:sz w:val="28"/>
          <w:szCs w:val="28"/>
          <w:lang w:val="pt-BR"/>
        </w:rPr>
        <w:t>DETECÇÃO DE INDICATIVOS DE DEPRESSÃO EM REDES SOCIAIS</w:t>
      </w:r>
    </w:p>
    <w:p w14:paraId="7B05C2DE" w14:textId="77777777" w:rsidR="00062C35" w:rsidRPr="002C6705" w:rsidRDefault="00000000">
      <w:pPr>
        <w:spacing w:after="120"/>
        <w:jc w:val="center"/>
        <w:rPr>
          <w:lang w:val="pt-BR"/>
        </w:rPr>
      </w:pPr>
      <w:r w:rsidRPr="002C6705">
        <w:rPr>
          <w:b/>
          <w:bCs/>
          <w:sz w:val="28"/>
          <w:szCs w:val="28"/>
          <w:lang w:val="pt-BR"/>
        </w:rPr>
        <w:t>UTILIZANDO TÉCNICAS DE MACHINE LEARNING E</w:t>
      </w:r>
    </w:p>
    <w:p w14:paraId="2711C55F" w14:textId="77777777" w:rsidR="00062C35" w:rsidRPr="002C6705" w:rsidRDefault="00000000">
      <w:pPr>
        <w:spacing w:after="360"/>
        <w:jc w:val="center"/>
        <w:rPr>
          <w:lang w:val="pt-BR"/>
        </w:rPr>
      </w:pPr>
      <w:r w:rsidRPr="002C6705">
        <w:rPr>
          <w:b/>
          <w:bCs/>
          <w:sz w:val="28"/>
          <w:szCs w:val="28"/>
          <w:lang w:val="pt-BR"/>
        </w:rPr>
        <w:t>PROCESSAMENTO DE LINGUAGEM NATURAL</w:t>
      </w:r>
    </w:p>
    <w:p w14:paraId="6FCD97C3" w14:textId="77777777" w:rsidR="00062C35" w:rsidRPr="002C6705" w:rsidRDefault="00000000">
      <w:pPr>
        <w:spacing w:after="120"/>
        <w:jc w:val="center"/>
        <w:rPr>
          <w:lang w:val="pt-BR"/>
        </w:rPr>
      </w:pPr>
      <w:r w:rsidRPr="002C6705">
        <w:rPr>
          <w:lang w:val="pt-BR"/>
        </w:rPr>
        <w:t>Laércio Santos e Anderson Silva</w:t>
      </w:r>
    </w:p>
    <w:p w14:paraId="3D441444" w14:textId="77777777" w:rsidR="00062C35" w:rsidRPr="002C6705" w:rsidRDefault="00000000">
      <w:pPr>
        <w:spacing w:after="480"/>
        <w:jc w:val="center"/>
        <w:rPr>
          <w:lang w:val="pt-BR"/>
        </w:rPr>
      </w:pPr>
      <w:r w:rsidRPr="002C6705">
        <w:rPr>
          <w:i/>
          <w:iCs/>
          <w:sz w:val="22"/>
          <w:szCs w:val="22"/>
          <w:lang w:val="pt-BR"/>
        </w:rPr>
        <w:t>Centro Universitário SENAC – Pós-Graduação em Inteligência Artificial</w:t>
      </w:r>
    </w:p>
    <w:p w14:paraId="77CA5B6D" w14:textId="77777777" w:rsidR="00062C35" w:rsidRPr="002C6705" w:rsidRDefault="00000000">
      <w:pPr>
        <w:spacing w:before="240" w:after="200"/>
        <w:jc w:val="center"/>
        <w:rPr>
          <w:lang w:val="pt-BR"/>
        </w:rPr>
      </w:pPr>
      <w:r w:rsidRPr="002C6705">
        <w:rPr>
          <w:b/>
          <w:bCs/>
          <w:lang w:val="pt-BR"/>
        </w:rPr>
        <w:t>RESUMO</w:t>
      </w:r>
    </w:p>
    <w:p w14:paraId="292265ED" w14:textId="77777777" w:rsidR="00062C35" w:rsidRPr="002C6705" w:rsidRDefault="00000000">
      <w:pPr>
        <w:spacing w:after="200" w:line="360" w:lineRule="auto"/>
        <w:jc w:val="both"/>
        <w:rPr>
          <w:lang w:val="pt-BR"/>
        </w:rPr>
      </w:pPr>
      <w:r w:rsidRPr="002C6705">
        <w:rPr>
          <w:lang w:val="pt-BR"/>
        </w:rPr>
        <w:t xml:space="preserve">O presente trabalho apresenta o desenvolvimento de um modelo de Machine Learning para identificação de indicativos de depressão em textos publicados em redes sociais, especificamente no Twitter. A pesquisa utiliza técnicas de Processamento de Linguagem Natural (NLP) para análise de padrões linguísticos e comportamentais que podem sinalizar estados depressivos. Foram avaliados cinco algoritmos de classificação: </w:t>
      </w:r>
      <w:proofErr w:type="spellStart"/>
      <w:r w:rsidRPr="002C6705">
        <w:rPr>
          <w:lang w:val="pt-BR"/>
        </w:rPr>
        <w:t>Support</w:t>
      </w:r>
      <w:proofErr w:type="spellEnd"/>
      <w:r w:rsidRPr="002C6705">
        <w:rPr>
          <w:lang w:val="pt-BR"/>
        </w:rPr>
        <w:t xml:space="preserve"> Vector Machine (SVM), Regressão Logística, Random Forest, </w:t>
      </w:r>
      <w:proofErr w:type="spellStart"/>
      <w:r w:rsidRPr="002C6705">
        <w:rPr>
          <w:lang w:val="pt-BR"/>
        </w:rPr>
        <w:t>Gradient</w:t>
      </w:r>
      <w:proofErr w:type="spellEnd"/>
      <w:r w:rsidRPr="002C6705">
        <w:rPr>
          <w:lang w:val="pt-BR"/>
        </w:rPr>
        <w:t xml:space="preserve"> </w:t>
      </w:r>
      <w:proofErr w:type="spellStart"/>
      <w:r w:rsidRPr="002C6705">
        <w:rPr>
          <w:lang w:val="pt-BR"/>
        </w:rPr>
        <w:t>Boosting</w:t>
      </w:r>
      <w:proofErr w:type="spellEnd"/>
      <w:r w:rsidRPr="002C6705">
        <w:rPr>
          <w:lang w:val="pt-BR"/>
        </w:rPr>
        <w:t xml:space="preserve"> e </w:t>
      </w:r>
      <w:proofErr w:type="spellStart"/>
      <w:r w:rsidRPr="002C6705">
        <w:rPr>
          <w:lang w:val="pt-BR"/>
        </w:rPr>
        <w:t>Naive</w:t>
      </w:r>
      <w:proofErr w:type="spellEnd"/>
      <w:r w:rsidRPr="002C6705">
        <w:rPr>
          <w:lang w:val="pt-BR"/>
        </w:rPr>
        <w:t xml:space="preserve"> </w:t>
      </w:r>
      <w:proofErr w:type="spellStart"/>
      <w:r w:rsidRPr="002C6705">
        <w:rPr>
          <w:lang w:val="pt-BR"/>
        </w:rPr>
        <w:t>Bayes</w:t>
      </w:r>
      <w:proofErr w:type="spellEnd"/>
      <w:r w:rsidRPr="002C6705">
        <w:rPr>
          <w:lang w:val="pt-BR"/>
        </w:rPr>
        <w:t xml:space="preserve">, utilizando um </w:t>
      </w:r>
      <w:proofErr w:type="spellStart"/>
      <w:r w:rsidRPr="002C6705">
        <w:rPr>
          <w:lang w:val="pt-BR"/>
        </w:rPr>
        <w:t>dataset</w:t>
      </w:r>
      <w:proofErr w:type="spellEnd"/>
      <w:r w:rsidRPr="002C6705">
        <w:rPr>
          <w:lang w:val="pt-BR"/>
        </w:rPr>
        <w:t xml:space="preserve"> de 10.314 tweets. Os experimentos foram conduzidos com vetorização TF-IDF, validação cruzada estratificada de 5 </w:t>
      </w:r>
      <w:proofErr w:type="spellStart"/>
      <w:r w:rsidRPr="002C6705">
        <w:rPr>
          <w:lang w:val="pt-BR"/>
        </w:rPr>
        <w:t>folds</w:t>
      </w:r>
      <w:proofErr w:type="spellEnd"/>
      <w:r w:rsidRPr="002C6705">
        <w:rPr>
          <w:lang w:val="pt-BR"/>
        </w:rPr>
        <w:t xml:space="preserve"> e métricas complementares incluindo acurácia, precisão, recall, F1-score e AUC-ROC. O modelo SVM apresentou o melhor desempenho global, alcançando 99,42% de acurácia, 99,78% de precisão, 97,62% de recall, F1-score de 98,69% e AUC-ROC de 0,9957. Os resultados demonstram que modelos tradicionais de Machine Learning podem superar abordagens baseadas em </w:t>
      </w:r>
      <w:proofErr w:type="spellStart"/>
      <w:r w:rsidRPr="002C6705">
        <w:rPr>
          <w:lang w:val="pt-BR"/>
        </w:rPr>
        <w:t>deep</w:t>
      </w:r>
      <w:proofErr w:type="spellEnd"/>
      <w:r w:rsidRPr="002C6705">
        <w:rPr>
          <w:lang w:val="pt-BR"/>
        </w:rPr>
        <w:t xml:space="preserve"> learning quando aplicados a conjuntos de dados de escala moderada, oferecendo uma solução mais eficiente e acessível para sistemas de triagem em saúde mental.</w:t>
      </w:r>
    </w:p>
    <w:p w14:paraId="27ACFC5B" w14:textId="77777777" w:rsidR="00062C35" w:rsidRPr="002C6705" w:rsidRDefault="00000000">
      <w:pPr>
        <w:spacing w:after="360"/>
        <w:jc w:val="both"/>
        <w:rPr>
          <w:lang w:val="pt-BR"/>
        </w:rPr>
      </w:pPr>
      <w:r w:rsidRPr="002C6705">
        <w:rPr>
          <w:b/>
          <w:bCs/>
          <w:lang w:val="pt-BR"/>
        </w:rPr>
        <w:t xml:space="preserve">Palavras-chave: </w:t>
      </w:r>
      <w:r w:rsidRPr="002C6705">
        <w:rPr>
          <w:lang w:val="pt-BR"/>
        </w:rPr>
        <w:t>Machine Learning; Detecção de Depressão; Processamento de Linguagem Natural; Redes Sociais; Classificação de Texto.</w:t>
      </w:r>
    </w:p>
    <w:p w14:paraId="3259FEEF" w14:textId="77777777" w:rsidR="00062C35" w:rsidRDefault="00000000">
      <w:pPr>
        <w:spacing w:before="240" w:after="200"/>
        <w:jc w:val="center"/>
      </w:pPr>
      <w:r>
        <w:rPr>
          <w:b/>
          <w:bCs/>
        </w:rPr>
        <w:t>ABSTRACT</w:t>
      </w:r>
    </w:p>
    <w:p w14:paraId="4195E26D" w14:textId="77777777" w:rsidR="00062C35" w:rsidRDefault="00000000">
      <w:pPr>
        <w:spacing w:after="200" w:line="360" w:lineRule="auto"/>
        <w:jc w:val="both"/>
      </w:pPr>
      <w:r>
        <w:rPr>
          <w:i/>
          <w:iCs/>
        </w:rPr>
        <w:t xml:space="preserve">This paper presents the development of a Machine Learning model for identifying depression indicators in texts published on social networks, specifically Twitter. The research uses Natural Language Processing (NLP) techniques to analyze linguistic and behavioral patterns that may signal depressive states. Five classification algorithms were evaluated: Support Vector Machine (SVM), Logistic Regression, Random Forest, Gradient Boosting, and Naive Bayes, using a dataset of 10,314 tweets. Experiments were conducted with TF-IDF vectorization, stratified 5-fold cross-validation, and complementary metrics including accuracy, precision, recall, F1-score, and AUC-ROC. The SVM model achieved the best overall performance, </w:t>
      </w:r>
      <w:r>
        <w:rPr>
          <w:i/>
          <w:iCs/>
        </w:rPr>
        <w:lastRenderedPageBreak/>
        <w:t>reaching 99.42% accuracy, 99.78% precision, 97.62% recall, F1-score of 98.69%, and AUC-ROC of 0.9957. The results demonstrate that traditional Machine Learning models can outperform deep learning approaches when applied to moderate-scale datasets, offering a more efficient and accessible solution for mental health screening systems.</w:t>
      </w:r>
    </w:p>
    <w:p w14:paraId="2E1C5401" w14:textId="77777777" w:rsidR="00062C35" w:rsidRDefault="00000000">
      <w:pPr>
        <w:spacing w:after="480"/>
        <w:jc w:val="both"/>
      </w:pPr>
      <w:r>
        <w:rPr>
          <w:b/>
          <w:bCs/>
          <w:i/>
          <w:iCs/>
        </w:rPr>
        <w:t xml:space="preserve">Keywords: </w:t>
      </w:r>
      <w:r>
        <w:rPr>
          <w:i/>
          <w:iCs/>
        </w:rPr>
        <w:t>Machine Learning; Depression Detection; Natural Language Processing; Social Networks; Text Classification.</w:t>
      </w:r>
    </w:p>
    <w:p w14:paraId="0FCF6D21" w14:textId="77777777" w:rsidR="00062C35" w:rsidRPr="002C6705" w:rsidRDefault="00000000">
      <w:pPr>
        <w:pStyle w:val="Ttulo1"/>
        <w:rPr>
          <w:lang w:val="pt-BR"/>
        </w:rPr>
      </w:pPr>
      <w:r w:rsidRPr="002C6705">
        <w:rPr>
          <w:lang w:val="pt-BR"/>
        </w:rPr>
        <w:t>1. INTRODUÇÃO</w:t>
      </w:r>
    </w:p>
    <w:p w14:paraId="239A3866" w14:textId="77777777" w:rsidR="00062C35" w:rsidRPr="002C6705" w:rsidRDefault="00000000">
      <w:pPr>
        <w:spacing w:after="200" w:line="360" w:lineRule="auto"/>
        <w:ind w:firstLine="720"/>
        <w:jc w:val="both"/>
        <w:rPr>
          <w:lang w:val="pt-BR"/>
        </w:rPr>
      </w:pPr>
      <w:r w:rsidRPr="002C6705">
        <w:rPr>
          <w:lang w:val="pt-BR"/>
        </w:rPr>
        <w:t>A depressão é considerada pela Organização Mundial da Saúde (OMS) como uma das principais causas de incapacidade no mundo, afetando mais de 300 milhões de pessoas globalmente. O Transtorno Depressivo Maior (TDM) caracteriza-se por episódios de humor deprimido, perda de interesse em atividades, alterações no sono e apetite, fadiga, sentimentos de inutilidade e, em casos graves, pensamentos suicidas. A detecção precoce desta condição é fundamental para o início de tratamentos adequados e prevenção de desfechos negativos.</w:t>
      </w:r>
    </w:p>
    <w:p w14:paraId="6E725760" w14:textId="77777777" w:rsidR="00062C35" w:rsidRPr="002C6705" w:rsidRDefault="00000000">
      <w:pPr>
        <w:spacing w:after="200" w:line="360" w:lineRule="auto"/>
        <w:ind w:firstLine="720"/>
        <w:jc w:val="both"/>
        <w:rPr>
          <w:lang w:val="pt-BR"/>
        </w:rPr>
      </w:pPr>
      <w:r w:rsidRPr="002C6705">
        <w:rPr>
          <w:lang w:val="pt-BR"/>
        </w:rPr>
        <w:t>Com a proliferação das redes sociais, milhões de pessoas passaram a expressar seus pensamentos, sentimentos e experiências cotidianas em plataformas digitais como Twitter, Facebook e Instagram. Esta vasta quantidade de dados textuais representa uma oportunidade única para pesquisadores e profissionais de saúde mental desenvolverem ferramentas de monitoramento e detecção precoce de transtornos mentais.</w:t>
      </w:r>
    </w:p>
    <w:p w14:paraId="338EF22A" w14:textId="77777777" w:rsidR="00062C35" w:rsidRPr="002C6705" w:rsidRDefault="00000000">
      <w:pPr>
        <w:spacing w:after="200" w:line="360" w:lineRule="auto"/>
        <w:ind w:firstLine="720"/>
        <w:jc w:val="both"/>
        <w:rPr>
          <w:lang w:val="pt-BR"/>
        </w:rPr>
      </w:pPr>
      <w:r w:rsidRPr="002C6705">
        <w:rPr>
          <w:lang w:val="pt-BR"/>
        </w:rPr>
        <w:t xml:space="preserve">O trabalho pioneiro de </w:t>
      </w:r>
      <w:proofErr w:type="spellStart"/>
      <w:r w:rsidRPr="002C6705">
        <w:rPr>
          <w:lang w:val="pt-BR"/>
        </w:rPr>
        <w:t>De</w:t>
      </w:r>
      <w:proofErr w:type="spellEnd"/>
      <w:r w:rsidRPr="002C6705">
        <w:rPr>
          <w:lang w:val="pt-BR"/>
        </w:rPr>
        <w:t xml:space="preserve"> </w:t>
      </w:r>
      <w:proofErr w:type="spellStart"/>
      <w:r w:rsidRPr="002C6705">
        <w:rPr>
          <w:lang w:val="pt-BR"/>
        </w:rPr>
        <w:t>Choudhury</w:t>
      </w:r>
      <w:proofErr w:type="spellEnd"/>
      <w:r w:rsidRPr="002C6705">
        <w:rPr>
          <w:lang w:val="pt-BR"/>
        </w:rPr>
        <w:t xml:space="preserve"> et al. (2013) demonstrou que redes sociais contêm sinais úteis para caracterizar o início da depressão, incluindo diminuição da atividade social, aumento do afeto negativo e preocupações relacionais e medicinais. Esta pesquisa estabeleceu as bases para o uso de técnicas de Processamento de Linguagem Natural (NLP) e Machine Learning na identificação de indicadores de saúde mental.</w:t>
      </w:r>
    </w:p>
    <w:p w14:paraId="0DED0B81" w14:textId="77777777" w:rsidR="00062C35" w:rsidRPr="002C6705" w:rsidRDefault="00000000">
      <w:pPr>
        <w:spacing w:after="360" w:line="360" w:lineRule="auto"/>
        <w:ind w:firstLine="720"/>
        <w:jc w:val="both"/>
        <w:rPr>
          <w:lang w:val="pt-BR"/>
        </w:rPr>
      </w:pPr>
      <w:r w:rsidRPr="002C6705">
        <w:rPr>
          <w:lang w:val="pt-BR"/>
        </w:rPr>
        <w:t>O presente trabalho tem como objetivo desenvolver um modelo de Machine Learning capaz de identificar indicativos de depressão em textos publicados no Twitter. A motivação para este estudo reside na necessidade crescente de ferramentas automatizadas que possam auxiliar profissionais de saúde na triagem e identificação de indivíduos em risco.</w:t>
      </w:r>
    </w:p>
    <w:p w14:paraId="59DF09F6" w14:textId="77777777" w:rsidR="00062C35" w:rsidRPr="002C6705" w:rsidRDefault="00000000">
      <w:pPr>
        <w:pStyle w:val="Ttulo1"/>
        <w:rPr>
          <w:lang w:val="pt-BR"/>
        </w:rPr>
      </w:pPr>
      <w:r w:rsidRPr="002C6705">
        <w:rPr>
          <w:lang w:val="pt-BR"/>
        </w:rPr>
        <w:t>2. FUNDAMENTAÇÃO TEÓRICA</w:t>
      </w:r>
    </w:p>
    <w:p w14:paraId="5C8E01C0" w14:textId="77777777" w:rsidR="00062C35" w:rsidRPr="002C6705" w:rsidRDefault="00000000">
      <w:pPr>
        <w:pStyle w:val="Ttulo2"/>
        <w:rPr>
          <w:lang w:val="pt-BR"/>
        </w:rPr>
      </w:pPr>
      <w:r w:rsidRPr="002C6705">
        <w:rPr>
          <w:lang w:val="pt-BR"/>
        </w:rPr>
        <w:t>2.1 Depressão e Manifestações em Redes Sociais</w:t>
      </w:r>
    </w:p>
    <w:p w14:paraId="4EE6055B" w14:textId="77777777" w:rsidR="00062C35" w:rsidRPr="002C6705" w:rsidRDefault="00000000">
      <w:pPr>
        <w:spacing w:after="360" w:line="360" w:lineRule="auto"/>
        <w:ind w:firstLine="720"/>
        <w:jc w:val="both"/>
        <w:rPr>
          <w:lang w:val="pt-BR"/>
        </w:rPr>
      </w:pPr>
      <w:r w:rsidRPr="002C6705">
        <w:rPr>
          <w:lang w:val="pt-BR"/>
        </w:rPr>
        <w:lastRenderedPageBreak/>
        <w:t>A depressão manifesta-se de diversas formas no comportamento online dos indivíduos. Estudos demonstram que pessoas com transtornos depressivos tendem a apresentar padrões específicos em suas publicações nas redes sociais, incluindo maior uso de palavras relacionadas a emoções negativas, pronomes de primeira pessoa do singular, referências a solidão e isolamento, e alterações nos horários de atividade online.</w:t>
      </w:r>
    </w:p>
    <w:p w14:paraId="69684F65" w14:textId="77777777" w:rsidR="00062C35" w:rsidRPr="002C6705" w:rsidRDefault="00000000">
      <w:pPr>
        <w:pStyle w:val="Ttulo2"/>
        <w:rPr>
          <w:lang w:val="pt-BR"/>
        </w:rPr>
      </w:pPr>
      <w:r w:rsidRPr="002C6705">
        <w:rPr>
          <w:lang w:val="pt-BR"/>
        </w:rPr>
        <w:t>2.2 Processamento de Linguagem Natural</w:t>
      </w:r>
    </w:p>
    <w:p w14:paraId="61BABFA3" w14:textId="77777777" w:rsidR="00062C35" w:rsidRPr="002C6705" w:rsidRDefault="00000000">
      <w:pPr>
        <w:spacing w:after="360" w:line="360" w:lineRule="auto"/>
        <w:ind w:firstLine="720"/>
        <w:jc w:val="both"/>
        <w:rPr>
          <w:lang w:val="pt-BR"/>
        </w:rPr>
      </w:pPr>
      <w:r w:rsidRPr="002C6705">
        <w:rPr>
          <w:lang w:val="pt-BR"/>
        </w:rPr>
        <w:t xml:space="preserve">O Processamento de Linguagem Natural (NLP) permite extrair significado e padrões de textos não estruturados. Para a tarefa de detecção de depressão, são empregadas técnicas como tokenização, remoção de </w:t>
      </w:r>
      <w:proofErr w:type="spellStart"/>
      <w:r w:rsidRPr="002C6705">
        <w:rPr>
          <w:lang w:val="pt-BR"/>
        </w:rPr>
        <w:t>stopwords</w:t>
      </w:r>
      <w:proofErr w:type="spellEnd"/>
      <w:r w:rsidRPr="002C6705">
        <w:rPr>
          <w:lang w:val="pt-BR"/>
        </w:rPr>
        <w:t>, lematização e vetorização TF-IDF com n-gramas.</w:t>
      </w:r>
    </w:p>
    <w:p w14:paraId="5456CA46" w14:textId="77777777" w:rsidR="00062C35" w:rsidRPr="002C6705" w:rsidRDefault="00000000">
      <w:pPr>
        <w:pStyle w:val="Ttulo2"/>
        <w:rPr>
          <w:lang w:val="pt-BR"/>
        </w:rPr>
      </w:pPr>
      <w:r w:rsidRPr="002C6705">
        <w:rPr>
          <w:lang w:val="pt-BR"/>
        </w:rPr>
        <w:t>2.3 Algoritmos de Machine Learning</w:t>
      </w:r>
    </w:p>
    <w:p w14:paraId="209AB526" w14:textId="77777777" w:rsidR="00062C35" w:rsidRPr="002C6705" w:rsidRDefault="00000000">
      <w:pPr>
        <w:spacing w:after="200" w:line="360" w:lineRule="auto"/>
        <w:ind w:firstLine="720"/>
        <w:jc w:val="both"/>
        <w:rPr>
          <w:lang w:val="pt-BR"/>
        </w:rPr>
      </w:pPr>
      <w:proofErr w:type="spellStart"/>
      <w:r w:rsidRPr="002C6705">
        <w:rPr>
          <w:b/>
          <w:bCs/>
          <w:lang w:val="pt-BR"/>
        </w:rPr>
        <w:t>Support</w:t>
      </w:r>
      <w:proofErr w:type="spellEnd"/>
      <w:r w:rsidRPr="002C6705">
        <w:rPr>
          <w:b/>
          <w:bCs/>
          <w:lang w:val="pt-BR"/>
        </w:rPr>
        <w:t xml:space="preserve"> Vector Machine (SVM): </w:t>
      </w:r>
      <w:r w:rsidRPr="002C6705">
        <w:rPr>
          <w:lang w:val="pt-BR"/>
        </w:rPr>
        <w:t>Busca encontrar o hiperplano ótimo que separa as classes no espaço de características. É particularmente eficaz em espaços de alta dimensionalidade.</w:t>
      </w:r>
    </w:p>
    <w:p w14:paraId="6A2444D9" w14:textId="77777777" w:rsidR="00062C35" w:rsidRPr="002C6705" w:rsidRDefault="00000000">
      <w:pPr>
        <w:spacing w:after="200" w:line="360" w:lineRule="auto"/>
        <w:ind w:firstLine="720"/>
        <w:jc w:val="both"/>
        <w:rPr>
          <w:lang w:val="pt-BR"/>
        </w:rPr>
      </w:pPr>
      <w:r w:rsidRPr="002C6705">
        <w:rPr>
          <w:b/>
          <w:bCs/>
          <w:lang w:val="pt-BR"/>
        </w:rPr>
        <w:t xml:space="preserve">Regressão Logística: </w:t>
      </w:r>
      <w:r w:rsidRPr="002C6705">
        <w:rPr>
          <w:lang w:val="pt-BR"/>
        </w:rPr>
        <w:t>Calcula a probabilidade de um evento pertencer a uma determinada classe utilizando a função logística.</w:t>
      </w:r>
    </w:p>
    <w:p w14:paraId="0C723511" w14:textId="77777777" w:rsidR="00062C35" w:rsidRPr="002C6705" w:rsidRDefault="00000000">
      <w:pPr>
        <w:spacing w:after="200" w:line="360" w:lineRule="auto"/>
        <w:ind w:firstLine="720"/>
        <w:jc w:val="both"/>
        <w:rPr>
          <w:lang w:val="pt-BR"/>
        </w:rPr>
      </w:pPr>
      <w:r w:rsidRPr="002C6705">
        <w:rPr>
          <w:b/>
          <w:bCs/>
          <w:lang w:val="pt-BR"/>
        </w:rPr>
        <w:t xml:space="preserve">Random Forest: </w:t>
      </w:r>
      <w:r w:rsidRPr="002C6705">
        <w:rPr>
          <w:lang w:val="pt-BR"/>
        </w:rPr>
        <w:t>Técnica ensemble que constrói múltiplas árvores de decisão e combina suas predições.</w:t>
      </w:r>
    </w:p>
    <w:p w14:paraId="146A86CC" w14:textId="77777777" w:rsidR="00062C35" w:rsidRPr="002C6705" w:rsidRDefault="00000000">
      <w:pPr>
        <w:spacing w:after="200" w:line="360" w:lineRule="auto"/>
        <w:ind w:firstLine="720"/>
        <w:jc w:val="both"/>
        <w:rPr>
          <w:lang w:val="pt-BR"/>
        </w:rPr>
      </w:pPr>
      <w:proofErr w:type="spellStart"/>
      <w:r w:rsidRPr="002C6705">
        <w:rPr>
          <w:b/>
          <w:bCs/>
          <w:lang w:val="pt-BR"/>
        </w:rPr>
        <w:t>Gradient</w:t>
      </w:r>
      <w:proofErr w:type="spellEnd"/>
      <w:r w:rsidRPr="002C6705">
        <w:rPr>
          <w:b/>
          <w:bCs/>
          <w:lang w:val="pt-BR"/>
        </w:rPr>
        <w:t xml:space="preserve"> </w:t>
      </w:r>
      <w:proofErr w:type="spellStart"/>
      <w:r w:rsidRPr="002C6705">
        <w:rPr>
          <w:b/>
          <w:bCs/>
          <w:lang w:val="pt-BR"/>
        </w:rPr>
        <w:t>Boosting</w:t>
      </w:r>
      <w:proofErr w:type="spellEnd"/>
      <w:r w:rsidRPr="002C6705">
        <w:rPr>
          <w:b/>
          <w:bCs/>
          <w:lang w:val="pt-BR"/>
        </w:rPr>
        <w:t xml:space="preserve">: </w:t>
      </w:r>
      <w:r w:rsidRPr="002C6705">
        <w:rPr>
          <w:lang w:val="pt-BR"/>
        </w:rPr>
        <w:t>Sistema escalável que constrói modelos sequencialmente, corrigindo erros anteriores.</w:t>
      </w:r>
    </w:p>
    <w:p w14:paraId="55C20DBC" w14:textId="77777777" w:rsidR="00062C35" w:rsidRPr="002C6705" w:rsidRDefault="00000000">
      <w:pPr>
        <w:spacing w:after="360" w:line="360" w:lineRule="auto"/>
        <w:ind w:firstLine="720"/>
        <w:jc w:val="both"/>
        <w:rPr>
          <w:lang w:val="pt-BR"/>
        </w:rPr>
      </w:pPr>
      <w:proofErr w:type="spellStart"/>
      <w:r w:rsidRPr="002C6705">
        <w:rPr>
          <w:b/>
          <w:bCs/>
          <w:lang w:val="pt-BR"/>
        </w:rPr>
        <w:t>Naive</w:t>
      </w:r>
      <w:proofErr w:type="spellEnd"/>
      <w:r w:rsidRPr="002C6705">
        <w:rPr>
          <w:b/>
          <w:bCs/>
          <w:lang w:val="pt-BR"/>
        </w:rPr>
        <w:t xml:space="preserve"> </w:t>
      </w:r>
      <w:proofErr w:type="spellStart"/>
      <w:r w:rsidRPr="002C6705">
        <w:rPr>
          <w:b/>
          <w:bCs/>
          <w:lang w:val="pt-BR"/>
        </w:rPr>
        <w:t>Bayes</w:t>
      </w:r>
      <w:proofErr w:type="spellEnd"/>
      <w:r w:rsidRPr="002C6705">
        <w:rPr>
          <w:b/>
          <w:bCs/>
          <w:lang w:val="pt-BR"/>
        </w:rPr>
        <w:t xml:space="preserve">: </w:t>
      </w:r>
      <w:r w:rsidRPr="002C6705">
        <w:rPr>
          <w:lang w:val="pt-BR"/>
        </w:rPr>
        <w:t xml:space="preserve">Baseado no teorema de </w:t>
      </w:r>
      <w:proofErr w:type="spellStart"/>
      <w:r w:rsidRPr="002C6705">
        <w:rPr>
          <w:lang w:val="pt-BR"/>
        </w:rPr>
        <w:t>Bayes</w:t>
      </w:r>
      <w:proofErr w:type="spellEnd"/>
      <w:r w:rsidRPr="002C6705">
        <w:rPr>
          <w:lang w:val="pt-BR"/>
        </w:rPr>
        <w:t>, assume independência condicional entre as características.</w:t>
      </w:r>
    </w:p>
    <w:p w14:paraId="1095C608" w14:textId="77777777" w:rsidR="00062C35" w:rsidRPr="002C6705" w:rsidRDefault="00000000">
      <w:pPr>
        <w:pStyle w:val="Ttulo1"/>
        <w:rPr>
          <w:lang w:val="pt-BR"/>
        </w:rPr>
      </w:pPr>
      <w:r w:rsidRPr="002C6705">
        <w:rPr>
          <w:lang w:val="pt-BR"/>
        </w:rPr>
        <w:t>3. METODOLOGIA</w:t>
      </w:r>
    </w:p>
    <w:p w14:paraId="5CDAE77D" w14:textId="77777777" w:rsidR="00062C35" w:rsidRPr="002C6705" w:rsidRDefault="00000000">
      <w:pPr>
        <w:pStyle w:val="Ttulo2"/>
        <w:rPr>
          <w:lang w:val="pt-BR"/>
        </w:rPr>
      </w:pPr>
      <w:r w:rsidRPr="002C6705">
        <w:rPr>
          <w:lang w:val="pt-BR"/>
        </w:rPr>
        <w:t>3.1 Conjunto de Dados</w:t>
      </w:r>
    </w:p>
    <w:p w14:paraId="54EF844B" w14:textId="77777777" w:rsidR="00062C35" w:rsidRPr="002C6705" w:rsidRDefault="00000000">
      <w:pPr>
        <w:spacing w:after="200" w:line="360" w:lineRule="auto"/>
        <w:ind w:firstLine="720"/>
        <w:jc w:val="both"/>
        <w:rPr>
          <w:lang w:val="pt-BR"/>
        </w:rPr>
      </w:pPr>
      <w:r w:rsidRPr="002C6705">
        <w:rPr>
          <w:lang w:val="pt-BR"/>
        </w:rPr>
        <w:t xml:space="preserve">O conjunto de dados utilizado consiste em 10.314 publicações do Twitter rotuladas como indicativas ou não indicativas de depressão. O </w:t>
      </w:r>
      <w:proofErr w:type="spellStart"/>
      <w:r w:rsidRPr="002C6705">
        <w:rPr>
          <w:lang w:val="pt-BR"/>
        </w:rPr>
        <w:t>dataset</w:t>
      </w:r>
      <w:proofErr w:type="spellEnd"/>
      <w:r w:rsidRPr="002C6705">
        <w:rPr>
          <w:lang w:val="pt-BR"/>
        </w:rPr>
        <w:t xml:space="preserve"> apresenta desbalanceamento entre classes, com 8.000 tweets (77,56%) classificados como 'Sem Depressão' e 2.314 tweets (22,44%) classificados como 'Com Depressão'. A divisão dos dados seguiu a proporção de 80% para treinamento (8.261 tweets) e 20% para teste (2.053 tweets).</w:t>
      </w:r>
    </w:p>
    <w:p w14:paraId="03B321F1" w14:textId="77777777" w:rsidR="00062C35" w:rsidRPr="002C6705" w:rsidRDefault="00000000">
      <w:pPr>
        <w:pStyle w:val="Ttulo2"/>
        <w:rPr>
          <w:lang w:val="pt-BR"/>
        </w:rPr>
      </w:pPr>
      <w:r w:rsidRPr="002C6705">
        <w:rPr>
          <w:lang w:val="pt-BR"/>
        </w:rPr>
        <w:lastRenderedPageBreak/>
        <w:t>3.2 Pré-processamento de Texto</w:t>
      </w:r>
    </w:p>
    <w:p w14:paraId="0A29D539" w14:textId="77777777" w:rsidR="00062C35" w:rsidRPr="002C6705" w:rsidRDefault="00000000">
      <w:pPr>
        <w:spacing w:after="200" w:line="360" w:lineRule="auto"/>
        <w:ind w:firstLine="720"/>
        <w:jc w:val="both"/>
        <w:rPr>
          <w:lang w:val="pt-BR"/>
        </w:rPr>
      </w:pPr>
      <w:r w:rsidRPr="002C6705">
        <w:rPr>
          <w:lang w:val="pt-BR"/>
        </w:rPr>
        <w:t xml:space="preserve">O pré-processamento envolveu: remoção de URLs, menções e hashtags; conversão para </w:t>
      </w:r>
      <w:proofErr w:type="spellStart"/>
      <w:r w:rsidRPr="002C6705">
        <w:rPr>
          <w:lang w:val="pt-BR"/>
        </w:rPr>
        <w:t>lowercase</w:t>
      </w:r>
      <w:proofErr w:type="spellEnd"/>
      <w:r w:rsidRPr="002C6705">
        <w:rPr>
          <w:lang w:val="pt-BR"/>
        </w:rPr>
        <w:t xml:space="preserve">; tokenização; remoção de </w:t>
      </w:r>
      <w:proofErr w:type="spellStart"/>
      <w:r w:rsidRPr="002C6705">
        <w:rPr>
          <w:lang w:val="pt-BR"/>
        </w:rPr>
        <w:t>stopwords</w:t>
      </w:r>
      <w:proofErr w:type="spellEnd"/>
      <w:r w:rsidRPr="002C6705">
        <w:rPr>
          <w:lang w:val="pt-BR"/>
        </w:rPr>
        <w:t>; e lematização. A vetorização utilizou TF-IDF com 5.000 features e n-gramas de 1 a 2.</w:t>
      </w:r>
    </w:p>
    <w:p w14:paraId="01E5A7CE" w14:textId="77777777" w:rsidR="00062C35" w:rsidRPr="002C6705" w:rsidRDefault="00000000">
      <w:pPr>
        <w:pStyle w:val="Ttulo2"/>
        <w:rPr>
          <w:lang w:val="pt-BR"/>
        </w:rPr>
      </w:pPr>
      <w:r w:rsidRPr="002C6705">
        <w:rPr>
          <w:lang w:val="pt-BR"/>
        </w:rPr>
        <w:t>3.3 Configuração dos Modelos</w:t>
      </w:r>
    </w:p>
    <w:p w14:paraId="626330DF" w14:textId="77777777" w:rsidR="00062C35" w:rsidRPr="002C6705" w:rsidRDefault="00000000">
      <w:pPr>
        <w:spacing w:after="360" w:line="360" w:lineRule="auto"/>
        <w:ind w:firstLine="720"/>
        <w:jc w:val="both"/>
        <w:rPr>
          <w:lang w:val="pt-BR"/>
        </w:rPr>
      </w:pPr>
      <w:r w:rsidRPr="002C6705">
        <w:rPr>
          <w:lang w:val="pt-BR"/>
        </w:rPr>
        <w:t xml:space="preserve">SVM: kernel linear, C=1; Regressão Logística: </w:t>
      </w:r>
      <w:proofErr w:type="spellStart"/>
      <w:r w:rsidRPr="002C6705">
        <w:rPr>
          <w:lang w:val="pt-BR"/>
        </w:rPr>
        <w:t>max_iter</w:t>
      </w:r>
      <w:proofErr w:type="spellEnd"/>
      <w:r w:rsidRPr="002C6705">
        <w:rPr>
          <w:lang w:val="pt-BR"/>
        </w:rPr>
        <w:t xml:space="preserve">=1000; Random Forest: 200 estimadores, profundidade=20; </w:t>
      </w:r>
      <w:proofErr w:type="spellStart"/>
      <w:r w:rsidRPr="002C6705">
        <w:rPr>
          <w:lang w:val="pt-BR"/>
        </w:rPr>
        <w:t>Gradient</w:t>
      </w:r>
      <w:proofErr w:type="spellEnd"/>
      <w:r w:rsidRPr="002C6705">
        <w:rPr>
          <w:lang w:val="pt-BR"/>
        </w:rPr>
        <w:t xml:space="preserve"> </w:t>
      </w:r>
      <w:proofErr w:type="spellStart"/>
      <w:r w:rsidRPr="002C6705">
        <w:rPr>
          <w:lang w:val="pt-BR"/>
        </w:rPr>
        <w:t>Boosting</w:t>
      </w:r>
      <w:proofErr w:type="spellEnd"/>
      <w:r w:rsidRPr="002C6705">
        <w:rPr>
          <w:lang w:val="pt-BR"/>
        </w:rPr>
        <w:t xml:space="preserve">: 100 estimadores, </w:t>
      </w:r>
      <w:proofErr w:type="spellStart"/>
      <w:r w:rsidRPr="002C6705">
        <w:rPr>
          <w:lang w:val="pt-BR"/>
        </w:rPr>
        <w:t>learning_rate</w:t>
      </w:r>
      <w:proofErr w:type="spellEnd"/>
      <w:r w:rsidRPr="002C6705">
        <w:rPr>
          <w:lang w:val="pt-BR"/>
        </w:rPr>
        <w:t xml:space="preserve">=0.1; </w:t>
      </w:r>
      <w:proofErr w:type="spellStart"/>
      <w:r w:rsidRPr="002C6705">
        <w:rPr>
          <w:lang w:val="pt-BR"/>
        </w:rPr>
        <w:t>Naive</w:t>
      </w:r>
      <w:proofErr w:type="spellEnd"/>
      <w:r w:rsidRPr="002C6705">
        <w:rPr>
          <w:lang w:val="pt-BR"/>
        </w:rPr>
        <w:t xml:space="preserve"> </w:t>
      </w:r>
      <w:proofErr w:type="spellStart"/>
      <w:r w:rsidRPr="002C6705">
        <w:rPr>
          <w:lang w:val="pt-BR"/>
        </w:rPr>
        <w:t>Bayes</w:t>
      </w:r>
      <w:proofErr w:type="spellEnd"/>
      <w:r w:rsidRPr="002C6705">
        <w:rPr>
          <w:lang w:val="pt-BR"/>
        </w:rPr>
        <w:t xml:space="preserve">: alpha=0.1. Todos os modelos utilizaram </w:t>
      </w:r>
      <w:proofErr w:type="spellStart"/>
      <w:r w:rsidRPr="002C6705">
        <w:rPr>
          <w:lang w:val="pt-BR"/>
        </w:rPr>
        <w:t>class_weight</w:t>
      </w:r>
      <w:proofErr w:type="spellEnd"/>
      <w:r w:rsidRPr="002C6705">
        <w:rPr>
          <w:lang w:val="pt-BR"/>
        </w:rPr>
        <w:t>='</w:t>
      </w:r>
      <w:proofErr w:type="spellStart"/>
      <w:r w:rsidRPr="002C6705">
        <w:rPr>
          <w:lang w:val="pt-BR"/>
        </w:rPr>
        <w:t>balanced</w:t>
      </w:r>
      <w:proofErr w:type="spellEnd"/>
      <w:r w:rsidRPr="002C6705">
        <w:rPr>
          <w:lang w:val="pt-BR"/>
        </w:rPr>
        <w:t>' quando disponível.</w:t>
      </w:r>
    </w:p>
    <w:p w14:paraId="1256CD35" w14:textId="77777777" w:rsidR="00062C35" w:rsidRPr="002C6705" w:rsidRDefault="00000000">
      <w:pPr>
        <w:pStyle w:val="Ttulo1"/>
        <w:rPr>
          <w:lang w:val="pt-BR"/>
        </w:rPr>
      </w:pPr>
      <w:r w:rsidRPr="002C6705">
        <w:rPr>
          <w:lang w:val="pt-BR"/>
        </w:rPr>
        <w:t>4. RESULTADOS E DISCUSSÃO</w:t>
      </w:r>
    </w:p>
    <w:p w14:paraId="270B2DD7" w14:textId="77777777" w:rsidR="00062C35" w:rsidRPr="002C6705" w:rsidRDefault="00000000">
      <w:pPr>
        <w:pStyle w:val="Ttulo2"/>
        <w:rPr>
          <w:lang w:val="pt-BR"/>
        </w:rPr>
      </w:pPr>
      <w:r w:rsidRPr="002C6705">
        <w:rPr>
          <w:lang w:val="pt-BR"/>
        </w:rPr>
        <w:t>4.1 Análise Exploratória dos Dados</w:t>
      </w:r>
    </w:p>
    <w:p w14:paraId="72EA64CC" w14:textId="77777777" w:rsidR="00062C35" w:rsidRDefault="00000000">
      <w:pPr>
        <w:spacing w:after="200" w:line="360" w:lineRule="auto"/>
        <w:ind w:firstLine="720"/>
        <w:jc w:val="both"/>
      </w:pPr>
      <w:r w:rsidRPr="002C6705">
        <w:rPr>
          <w:lang w:val="pt-BR"/>
        </w:rPr>
        <w:t xml:space="preserve">A análise exploratória revelou diferenças significativas nas características linguísticas entre as classes. </w:t>
      </w:r>
      <w:r>
        <w:t xml:space="preserve">A </w:t>
      </w:r>
      <w:proofErr w:type="spellStart"/>
      <w:r>
        <w:t>Figura</w:t>
      </w:r>
      <w:proofErr w:type="spellEnd"/>
      <w:r>
        <w:t xml:space="preserve"> 1 </w:t>
      </w:r>
      <w:proofErr w:type="spellStart"/>
      <w:r>
        <w:t>apresenta</w:t>
      </w:r>
      <w:proofErr w:type="spellEnd"/>
      <w:r>
        <w:t xml:space="preserve"> a </w:t>
      </w:r>
      <w:proofErr w:type="spellStart"/>
      <w:r>
        <w:t>distribuição</w:t>
      </w:r>
      <w:proofErr w:type="spellEnd"/>
      <w:r>
        <w:t xml:space="preserve"> das classes no dataset.</w:t>
      </w:r>
    </w:p>
    <w:p w14:paraId="2529E231" w14:textId="77777777" w:rsidR="00062C35" w:rsidRDefault="00000000">
      <w:pPr>
        <w:spacing w:before="200" w:after="100"/>
        <w:jc w:val="center"/>
      </w:pPr>
      <w:r>
        <w:rPr>
          <w:noProof/>
        </w:rPr>
        <w:drawing>
          <wp:inline distT="0" distB="0" distL="0" distR="0" wp14:anchorId="0BD9B3C6" wp14:editId="39D257DF">
            <wp:extent cx="5238750" cy="1905000"/>
            <wp:effectExtent l="0" t="0" r="0" b="0"/>
            <wp:docPr id="1" name="Fig1" descr="Distribuição das classes" title="Distribui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1905000"/>
                    </a:xfrm>
                    <a:prstGeom prst="rect">
                      <a:avLst/>
                    </a:prstGeom>
                  </pic:spPr>
                </pic:pic>
              </a:graphicData>
            </a:graphic>
          </wp:inline>
        </w:drawing>
      </w:r>
    </w:p>
    <w:p w14:paraId="52D743D9" w14:textId="77777777" w:rsidR="00062C35" w:rsidRPr="002C6705" w:rsidRDefault="00000000">
      <w:pPr>
        <w:spacing w:after="360"/>
        <w:jc w:val="center"/>
        <w:rPr>
          <w:lang w:val="pt-BR"/>
        </w:rPr>
      </w:pPr>
      <w:r w:rsidRPr="002C6705">
        <w:rPr>
          <w:i/>
          <w:iCs/>
          <w:sz w:val="22"/>
          <w:szCs w:val="22"/>
          <w:lang w:val="pt-BR"/>
        </w:rPr>
        <w:t xml:space="preserve">Figura 1 – Distribuição das classes no </w:t>
      </w:r>
      <w:proofErr w:type="spellStart"/>
      <w:r w:rsidRPr="002C6705">
        <w:rPr>
          <w:i/>
          <w:iCs/>
          <w:sz w:val="22"/>
          <w:szCs w:val="22"/>
          <w:lang w:val="pt-BR"/>
        </w:rPr>
        <w:t>dataset</w:t>
      </w:r>
      <w:proofErr w:type="spellEnd"/>
      <w:r w:rsidRPr="002C6705">
        <w:rPr>
          <w:i/>
          <w:iCs/>
          <w:sz w:val="22"/>
          <w:szCs w:val="22"/>
          <w:lang w:val="pt-BR"/>
        </w:rPr>
        <w:t xml:space="preserve"> (Sem Depressão: 8.000; Com Depressão: 2.314)</w:t>
      </w:r>
    </w:p>
    <w:p w14:paraId="2752B1B4" w14:textId="77777777" w:rsidR="00062C35" w:rsidRPr="002C6705" w:rsidRDefault="00000000">
      <w:pPr>
        <w:spacing w:after="200" w:line="360" w:lineRule="auto"/>
        <w:ind w:firstLine="720"/>
        <w:jc w:val="both"/>
        <w:rPr>
          <w:lang w:val="pt-BR"/>
        </w:rPr>
      </w:pPr>
      <w:r w:rsidRPr="002C6705">
        <w:rPr>
          <w:lang w:val="pt-BR"/>
        </w:rPr>
        <w:t>Nos tweets sem indicativos de depressão, predominam palavras positivas como '</w:t>
      </w:r>
      <w:proofErr w:type="spellStart"/>
      <w:r w:rsidRPr="002C6705">
        <w:rPr>
          <w:lang w:val="pt-BR"/>
        </w:rPr>
        <w:t>love</w:t>
      </w:r>
      <w:proofErr w:type="spellEnd"/>
      <w:r w:rsidRPr="002C6705">
        <w:rPr>
          <w:lang w:val="pt-BR"/>
        </w:rPr>
        <w:t>', '</w:t>
      </w:r>
      <w:proofErr w:type="spellStart"/>
      <w:r w:rsidRPr="002C6705">
        <w:rPr>
          <w:lang w:val="pt-BR"/>
        </w:rPr>
        <w:t>good</w:t>
      </w:r>
      <w:proofErr w:type="spellEnd"/>
      <w:r w:rsidRPr="002C6705">
        <w:rPr>
          <w:lang w:val="pt-BR"/>
        </w:rPr>
        <w:t>', '</w:t>
      </w:r>
      <w:proofErr w:type="spellStart"/>
      <w:r w:rsidRPr="002C6705">
        <w:rPr>
          <w:lang w:val="pt-BR"/>
        </w:rPr>
        <w:t>day</w:t>
      </w:r>
      <w:proofErr w:type="spellEnd"/>
      <w:r w:rsidRPr="002C6705">
        <w:rPr>
          <w:lang w:val="pt-BR"/>
        </w:rPr>
        <w:t>', '</w:t>
      </w:r>
      <w:proofErr w:type="spellStart"/>
      <w:r w:rsidRPr="002C6705">
        <w:rPr>
          <w:lang w:val="pt-BR"/>
        </w:rPr>
        <w:t>thank</w:t>
      </w:r>
      <w:proofErr w:type="spellEnd"/>
      <w:r w:rsidRPr="002C6705">
        <w:rPr>
          <w:lang w:val="pt-BR"/>
        </w:rPr>
        <w:t>'. Em contraste, os tweets com indicativos de depressão apresentam alta frequência de termos como '</w:t>
      </w:r>
      <w:proofErr w:type="spellStart"/>
      <w:r w:rsidRPr="002C6705">
        <w:rPr>
          <w:lang w:val="pt-BR"/>
        </w:rPr>
        <w:t>depression</w:t>
      </w:r>
      <w:proofErr w:type="spellEnd"/>
      <w:r w:rsidRPr="002C6705">
        <w:rPr>
          <w:lang w:val="pt-BR"/>
        </w:rPr>
        <w:t>', '</w:t>
      </w:r>
      <w:proofErr w:type="spellStart"/>
      <w:r w:rsidRPr="002C6705">
        <w:rPr>
          <w:lang w:val="pt-BR"/>
        </w:rPr>
        <w:t>anxiety</w:t>
      </w:r>
      <w:proofErr w:type="spellEnd"/>
      <w:r w:rsidRPr="002C6705">
        <w:rPr>
          <w:lang w:val="pt-BR"/>
        </w:rPr>
        <w:t>', 'mental', '</w:t>
      </w:r>
      <w:proofErr w:type="spellStart"/>
      <w:r w:rsidRPr="002C6705">
        <w:rPr>
          <w:lang w:val="pt-BR"/>
        </w:rPr>
        <w:t>health</w:t>
      </w:r>
      <w:proofErr w:type="spellEnd"/>
      <w:r w:rsidRPr="002C6705">
        <w:rPr>
          <w:lang w:val="pt-BR"/>
        </w:rPr>
        <w:t>'.</w:t>
      </w:r>
    </w:p>
    <w:p w14:paraId="2A780003" w14:textId="77777777" w:rsidR="00062C35" w:rsidRDefault="00000000">
      <w:pPr>
        <w:spacing w:before="200" w:after="100"/>
        <w:jc w:val="center"/>
      </w:pPr>
      <w:r>
        <w:rPr>
          <w:noProof/>
        </w:rPr>
        <w:drawing>
          <wp:inline distT="0" distB="0" distL="0" distR="0" wp14:anchorId="5581CE8B" wp14:editId="6FDD7DBD">
            <wp:extent cx="5238750" cy="1428750"/>
            <wp:effectExtent l="0" t="0" r="0" b="0"/>
            <wp:docPr id="112521544" name="Fig2" descr="Nuvens de palavras" title="WordClou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1428750"/>
                    </a:xfrm>
                    <a:prstGeom prst="rect">
                      <a:avLst/>
                    </a:prstGeom>
                  </pic:spPr>
                </pic:pic>
              </a:graphicData>
            </a:graphic>
          </wp:inline>
        </w:drawing>
      </w:r>
    </w:p>
    <w:p w14:paraId="58A540B7" w14:textId="77777777" w:rsidR="00062C35" w:rsidRPr="002C6705" w:rsidRDefault="00000000">
      <w:pPr>
        <w:spacing w:after="200"/>
        <w:jc w:val="center"/>
        <w:rPr>
          <w:lang w:val="pt-BR"/>
        </w:rPr>
      </w:pPr>
      <w:r w:rsidRPr="002C6705">
        <w:rPr>
          <w:i/>
          <w:iCs/>
          <w:sz w:val="22"/>
          <w:szCs w:val="22"/>
          <w:lang w:val="pt-BR"/>
        </w:rPr>
        <w:t xml:space="preserve">Figura 2 – Nuvens de palavras: tweets sem depressão (esquerda) </w:t>
      </w:r>
      <w:proofErr w:type="spellStart"/>
      <w:r w:rsidRPr="002C6705">
        <w:rPr>
          <w:i/>
          <w:iCs/>
          <w:sz w:val="22"/>
          <w:szCs w:val="22"/>
          <w:lang w:val="pt-BR"/>
        </w:rPr>
        <w:t>vs</w:t>
      </w:r>
      <w:proofErr w:type="spellEnd"/>
      <w:r w:rsidRPr="002C6705">
        <w:rPr>
          <w:i/>
          <w:iCs/>
          <w:sz w:val="22"/>
          <w:szCs w:val="22"/>
          <w:lang w:val="pt-BR"/>
        </w:rPr>
        <w:t xml:space="preserve"> com depressão (direita)</w:t>
      </w:r>
    </w:p>
    <w:p w14:paraId="56B08D36" w14:textId="77777777" w:rsidR="00062C35" w:rsidRDefault="00000000">
      <w:pPr>
        <w:spacing w:before="200" w:after="100"/>
        <w:jc w:val="center"/>
      </w:pPr>
      <w:r>
        <w:rPr>
          <w:noProof/>
        </w:rPr>
        <w:lastRenderedPageBreak/>
        <w:drawing>
          <wp:inline distT="0" distB="0" distL="0" distR="0" wp14:anchorId="1F2DB44C" wp14:editId="376A8C2B">
            <wp:extent cx="5238750" cy="1905000"/>
            <wp:effectExtent l="0" t="0" r="0" b="0"/>
            <wp:docPr id="1478972595" name="Fig3" descr="Top 20 palavras" title="Top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1905000"/>
                    </a:xfrm>
                    <a:prstGeom prst="rect">
                      <a:avLst/>
                    </a:prstGeom>
                  </pic:spPr>
                </pic:pic>
              </a:graphicData>
            </a:graphic>
          </wp:inline>
        </w:drawing>
      </w:r>
    </w:p>
    <w:p w14:paraId="4E263D90" w14:textId="77777777" w:rsidR="00062C35" w:rsidRPr="002C6705" w:rsidRDefault="00000000">
      <w:pPr>
        <w:spacing w:after="360"/>
        <w:jc w:val="center"/>
        <w:rPr>
          <w:lang w:val="pt-BR"/>
        </w:rPr>
      </w:pPr>
      <w:r w:rsidRPr="002C6705">
        <w:rPr>
          <w:i/>
          <w:iCs/>
          <w:sz w:val="22"/>
          <w:szCs w:val="22"/>
          <w:lang w:val="pt-BR"/>
        </w:rPr>
        <w:t>Figura 3 – Top 20 palavras mais frequentes por classe</w:t>
      </w:r>
    </w:p>
    <w:p w14:paraId="2C149B33" w14:textId="77777777" w:rsidR="00062C35" w:rsidRPr="002C6705" w:rsidRDefault="00000000">
      <w:pPr>
        <w:pStyle w:val="Ttulo2"/>
        <w:rPr>
          <w:lang w:val="pt-BR"/>
        </w:rPr>
      </w:pPr>
      <w:r w:rsidRPr="002C6705">
        <w:rPr>
          <w:lang w:val="pt-BR"/>
        </w:rPr>
        <w:t>4.2 Desempenho Comparativo dos Modelos</w:t>
      </w:r>
    </w:p>
    <w:p w14:paraId="2D92BDDC" w14:textId="77777777" w:rsidR="00062C35" w:rsidRPr="002C6705" w:rsidRDefault="00000000">
      <w:pPr>
        <w:spacing w:after="200" w:line="360" w:lineRule="auto"/>
        <w:ind w:firstLine="720"/>
        <w:jc w:val="both"/>
        <w:rPr>
          <w:lang w:val="pt-BR"/>
        </w:rPr>
      </w:pPr>
      <w:r w:rsidRPr="002C6705">
        <w:rPr>
          <w:lang w:val="pt-BR"/>
        </w:rPr>
        <w:t>A Tabela 1 apresenta a comparação detalhada das métricas de avaliação para os cinco algoritmos testados.</w:t>
      </w:r>
    </w:p>
    <w:p w14:paraId="718A5B97" w14:textId="77777777" w:rsidR="00062C35" w:rsidRPr="002C6705" w:rsidRDefault="00000000">
      <w:pPr>
        <w:spacing w:before="200" w:after="100"/>
        <w:jc w:val="center"/>
        <w:rPr>
          <w:lang w:val="pt-BR"/>
        </w:rPr>
      </w:pPr>
      <w:r w:rsidRPr="002C6705">
        <w:rPr>
          <w:b/>
          <w:bCs/>
          <w:sz w:val="22"/>
          <w:szCs w:val="22"/>
          <w:lang w:val="pt-BR"/>
        </w:rPr>
        <w:t>Tabela 1 – Métricas de Desempenho dos Modelos de Classificação</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200"/>
        <w:gridCol w:w="1200"/>
        <w:gridCol w:w="1200"/>
        <w:gridCol w:w="1200"/>
      </w:tblGrid>
      <w:tr w:rsidR="00062C35" w14:paraId="209A929D" w14:textId="77777777">
        <w:trPr>
          <w:tblHeader/>
        </w:trPr>
        <w:tc>
          <w:tcPr>
            <w:tcW w:w="2200" w:type="dxa"/>
            <w:tcBorders>
              <w:top w:val="single" w:sz="1" w:space="0" w:color="000000"/>
              <w:left w:val="single" w:sz="1" w:space="0" w:color="000000"/>
              <w:bottom w:val="single" w:sz="1" w:space="0" w:color="000000"/>
              <w:right w:val="single" w:sz="1" w:space="0" w:color="000000"/>
            </w:tcBorders>
          </w:tcPr>
          <w:p w14:paraId="63E8924F" w14:textId="77777777" w:rsidR="00062C35" w:rsidRDefault="00000000">
            <w:pPr>
              <w:jc w:val="center"/>
            </w:pPr>
            <w:r>
              <w:rPr>
                <w:b/>
                <w:bCs/>
                <w:sz w:val="20"/>
                <w:szCs w:val="20"/>
              </w:rPr>
              <w:t>Modelo</w:t>
            </w:r>
          </w:p>
        </w:tc>
        <w:tc>
          <w:tcPr>
            <w:tcW w:w="1200" w:type="dxa"/>
            <w:tcBorders>
              <w:top w:val="single" w:sz="1" w:space="0" w:color="000000"/>
              <w:left w:val="single" w:sz="1" w:space="0" w:color="000000"/>
              <w:bottom w:val="single" w:sz="1" w:space="0" w:color="000000"/>
              <w:right w:val="single" w:sz="1" w:space="0" w:color="000000"/>
            </w:tcBorders>
          </w:tcPr>
          <w:p w14:paraId="6C41D49C" w14:textId="77777777" w:rsidR="00062C35" w:rsidRDefault="00000000">
            <w:pPr>
              <w:jc w:val="center"/>
            </w:pPr>
            <w:proofErr w:type="spellStart"/>
            <w:r>
              <w:rPr>
                <w:b/>
                <w:bCs/>
                <w:sz w:val="20"/>
                <w:szCs w:val="20"/>
              </w:rPr>
              <w:t>Acurácia</w:t>
            </w:r>
            <w:proofErr w:type="spellEnd"/>
          </w:p>
        </w:tc>
        <w:tc>
          <w:tcPr>
            <w:tcW w:w="1200" w:type="dxa"/>
            <w:tcBorders>
              <w:top w:val="single" w:sz="1" w:space="0" w:color="000000"/>
              <w:left w:val="single" w:sz="1" w:space="0" w:color="000000"/>
              <w:bottom w:val="single" w:sz="1" w:space="0" w:color="000000"/>
              <w:right w:val="single" w:sz="1" w:space="0" w:color="000000"/>
            </w:tcBorders>
          </w:tcPr>
          <w:p w14:paraId="348664CD" w14:textId="77777777" w:rsidR="00062C35" w:rsidRDefault="00000000">
            <w:pPr>
              <w:jc w:val="center"/>
            </w:pPr>
            <w:proofErr w:type="spellStart"/>
            <w:r>
              <w:rPr>
                <w:b/>
                <w:bCs/>
                <w:sz w:val="20"/>
                <w:szCs w:val="20"/>
              </w:rPr>
              <w:t>Precisão</w:t>
            </w:r>
            <w:proofErr w:type="spellEnd"/>
          </w:p>
        </w:tc>
        <w:tc>
          <w:tcPr>
            <w:tcW w:w="1200" w:type="dxa"/>
            <w:tcBorders>
              <w:top w:val="single" w:sz="1" w:space="0" w:color="000000"/>
              <w:left w:val="single" w:sz="1" w:space="0" w:color="000000"/>
              <w:bottom w:val="single" w:sz="1" w:space="0" w:color="000000"/>
              <w:right w:val="single" w:sz="1" w:space="0" w:color="000000"/>
            </w:tcBorders>
          </w:tcPr>
          <w:p w14:paraId="22D5D754" w14:textId="77777777" w:rsidR="00062C35" w:rsidRDefault="00000000">
            <w:pPr>
              <w:jc w:val="center"/>
            </w:pPr>
            <w:r>
              <w:rPr>
                <w:b/>
                <w:bCs/>
                <w:sz w:val="20"/>
                <w:szCs w:val="20"/>
              </w:rPr>
              <w:t>Recall</w:t>
            </w:r>
          </w:p>
        </w:tc>
        <w:tc>
          <w:tcPr>
            <w:tcW w:w="1200" w:type="dxa"/>
            <w:tcBorders>
              <w:top w:val="single" w:sz="1" w:space="0" w:color="000000"/>
              <w:left w:val="single" w:sz="1" w:space="0" w:color="000000"/>
              <w:bottom w:val="single" w:sz="1" w:space="0" w:color="000000"/>
              <w:right w:val="single" w:sz="1" w:space="0" w:color="000000"/>
            </w:tcBorders>
          </w:tcPr>
          <w:p w14:paraId="00B2769B" w14:textId="77777777" w:rsidR="00062C35" w:rsidRDefault="00000000">
            <w:pPr>
              <w:jc w:val="center"/>
            </w:pPr>
            <w:r>
              <w:rPr>
                <w:b/>
                <w:bCs/>
                <w:sz w:val="20"/>
                <w:szCs w:val="20"/>
              </w:rPr>
              <w:t>F1-Score</w:t>
            </w:r>
          </w:p>
        </w:tc>
        <w:tc>
          <w:tcPr>
            <w:tcW w:w="1200" w:type="dxa"/>
            <w:tcBorders>
              <w:top w:val="single" w:sz="1" w:space="0" w:color="000000"/>
              <w:left w:val="single" w:sz="1" w:space="0" w:color="000000"/>
              <w:bottom w:val="single" w:sz="1" w:space="0" w:color="000000"/>
              <w:right w:val="single" w:sz="1" w:space="0" w:color="000000"/>
            </w:tcBorders>
          </w:tcPr>
          <w:p w14:paraId="597CB78D" w14:textId="77777777" w:rsidR="00062C35" w:rsidRDefault="00000000">
            <w:pPr>
              <w:jc w:val="center"/>
            </w:pPr>
            <w:r>
              <w:rPr>
                <w:b/>
                <w:bCs/>
                <w:sz w:val="20"/>
                <w:szCs w:val="20"/>
              </w:rPr>
              <w:t>AUC-ROC</w:t>
            </w:r>
          </w:p>
        </w:tc>
      </w:tr>
      <w:tr w:rsidR="00062C35" w14:paraId="155EA076" w14:textId="77777777">
        <w:tc>
          <w:tcPr>
            <w:tcW w:w="2200" w:type="dxa"/>
            <w:tcBorders>
              <w:top w:val="single" w:sz="1" w:space="0" w:color="000000"/>
              <w:left w:val="single" w:sz="1" w:space="0" w:color="000000"/>
              <w:bottom w:val="single" w:sz="1" w:space="0" w:color="000000"/>
              <w:right w:val="single" w:sz="1" w:space="0" w:color="000000"/>
            </w:tcBorders>
          </w:tcPr>
          <w:p w14:paraId="64F74FAC" w14:textId="77777777" w:rsidR="00062C35" w:rsidRDefault="00000000">
            <w:r>
              <w:rPr>
                <w:b/>
                <w:bCs/>
                <w:sz w:val="20"/>
                <w:szCs w:val="20"/>
              </w:rPr>
              <w:t>SVM</w:t>
            </w:r>
          </w:p>
        </w:tc>
        <w:tc>
          <w:tcPr>
            <w:tcW w:w="1200" w:type="dxa"/>
            <w:tcBorders>
              <w:top w:val="single" w:sz="1" w:space="0" w:color="000000"/>
              <w:left w:val="single" w:sz="1" w:space="0" w:color="000000"/>
              <w:bottom w:val="single" w:sz="1" w:space="0" w:color="000000"/>
              <w:right w:val="single" w:sz="1" w:space="0" w:color="000000"/>
            </w:tcBorders>
          </w:tcPr>
          <w:p w14:paraId="7EB873FD" w14:textId="77777777" w:rsidR="00062C35" w:rsidRDefault="00000000">
            <w:pPr>
              <w:jc w:val="center"/>
            </w:pPr>
            <w:r>
              <w:rPr>
                <w:sz w:val="20"/>
                <w:szCs w:val="20"/>
              </w:rPr>
              <w:t>99,42%</w:t>
            </w:r>
          </w:p>
        </w:tc>
        <w:tc>
          <w:tcPr>
            <w:tcW w:w="1200" w:type="dxa"/>
            <w:tcBorders>
              <w:top w:val="single" w:sz="1" w:space="0" w:color="000000"/>
              <w:left w:val="single" w:sz="1" w:space="0" w:color="000000"/>
              <w:bottom w:val="single" w:sz="1" w:space="0" w:color="000000"/>
              <w:right w:val="single" w:sz="1" w:space="0" w:color="000000"/>
            </w:tcBorders>
          </w:tcPr>
          <w:p w14:paraId="0546B071" w14:textId="77777777" w:rsidR="00062C35" w:rsidRDefault="00000000">
            <w:pPr>
              <w:jc w:val="center"/>
            </w:pPr>
            <w:r>
              <w:rPr>
                <w:sz w:val="20"/>
                <w:szCs w:val="20"/>
              </w:rPr>
              <w:t>99,78%</w:t>
            </w:r>
          </w:p>
        </w:tc>
        <w:tc>
          <w:tcPr>
            <w:tcW w:w="1200" w:type="dxa"/>
            <w:tcBorders>
              <w:top w:val="single" w:sz="1" w:space="0" w:color="000000"/>
              <w:left w:val="single" w:sz="1" w:space="0" w:color="000000"/>
              <w:bottom w:val="single" w:sz="1" w:space="0" w:color="000000"/>
              <w:right w:val="single" w:sz="1" w:space="0" w:color="000000"/>
            </w:tcBorders>
          </w:tcPr>
          <w:p w14:paraId="03EB9886" w14:textId="77777777" w:rsidR="00062C35" w:rsidRDefault="00000000">
            <w:pPr>
              <w:jc w:val="center"/>
            </w:pPr>
            <w:r>
              <w:rPr>
                <w:sz w:val="20"/>
                <w:szCs w:val="20"/>
              </w:rPr>
              <w:t>97,62%</w:t>
            </w:r>
          </w:p>
        </w:tc>
        <w:tc>
          <w:tcPr>
            <w:tcW w:w="1200" w:type="dxa"/>
            <w:tcBorders>
              <w:top w:val="single" w:sz="1" w:space="0" w:color="000000"/>
              <w:left w:val="single" w:sz="1" w:space="0" w:color="000000"/>
              <w:bottom w:val="single" w:sz="1" w:space="0" w:color="000000"/>
              <w:right w:val="single" w:sz="1" w:space="0" w:color="000000"/>
            </w:tcBorders>
          </w:tcPr>
          <w:p w14:paraId="00470C5F" w14:textId="77777777" w:rsidR="00062C35" w:rsidRDefault="00000000">
            <w:pPr>
              <w:jc w:val="center"/>
            </w:pPr>
            <w:r>
              <w:rPr>
                <w:sz w:val="20"/>
                <w:szCs w:val="20"/>
              </w:rPr>
              <w:t>98,69%</w:t>
            </w:r>
          </w:p>
        </w:tc>
        <w:tc>
          <w:tcPr>
            <w:tcW w:w="1200" w:type="dxa"/>
            <w:tcBorders>
              <w:top w:val="single" w:sz="1" w:space="0" w:color="000000"/>
              <w:left w:val="single" w:sz="1" w:space="0" w:color="000000"/>
              <w:bottom w:val="single" w:sz="1" w:space="0" w:color="000000"/>
              <w:right w:val="single" w:sz="1" w:space="0" w:color="000000"/>
            </w:tcBorders>
          </w:tcPr>
          <w:p w14:paraId="40B25B20" w14:textId="77777777" w:rsidR="00062C35" w:rsidRDefault="00000000">
            <w:pPr>
              <w:jc w:val="center"/>
            </w:pPr>
            <w:r>
              <w:rPr>
                <w:sz w:val="20"/>
                <w:szCs w:val="20"/>
              </w:rPr>
              <w:t>0,9957</w:t>
            </w:r>
          </w:p>
        </w:tc>
      </w:tr>
      <w:tr w:rsidR="00062C35" w14:paraId="2868C78F" w14:textId="77777777">
        <w:tc>
          <w:tcPr>
            <w:tcW w:w="2200" w:type="dxa"/>
            <w:tcBorders>
              <w:top w:val="single" w:sz="1" w:space="0" w:color="000000"/>
              <w:left w:val="single" w:sz="1" w:space="0" w:color="000000"/>
              <w:bottom w:val="single" w:sz="1" w:space="0" w:color="000000"/>
              <w:right w:val="single" w:sz="1" w:space="0" w:color="000000"/>
            </w:tcBorders>
          </w:tcPr>
          <w:p w14:paraId="6A3E9BD1" w14:textId="77777777" w:rsidR="00062C35" w:rsidRDefault="00000000">
            <w:r>
              <w:rPr>
                <w:sz w:val="20"/>
                <w:szCs w:val="20"/>
              </w:rPr>
              <w:t>Random Forest</w:t>
            </w:r>
          </w:p>
        </w:tc>
        <w:tc>
          <w:tcPr>
            <w:tcW w:w="1200" w:type="dxa"/>
            <w:tcBorders>
              <w:top w:val="single" w:sz="1" w:space="0" w:color="000000"/>
              <w:left w:val="single" w:sz="1" w:space="0" w:color="000000"/>
              <w:bottom w:val="single" w:sz="1" w:space="0" w:color="000000"/>
              <w:right w:val="single" w:sz="1" w:space="0" w:color="000000"/>
            </w:tcBorders>
          </w:tcPr>
          <w:p w14:paraId="7EEC8FAB" w14:textId="77777777" w:rsidR="00062C35" w:rsidRDefault="00000000">
            <w:pPr>
              <w:jc w:val="center"/>
            </w:pPr>
            <w:r>
              <w:rPr>
                <w:sz w:val="20"/>
                <w:szCs w:val="20"/>
              </w:rPr>
              <w:t>99,27%</w:t>
            </w:r>
          </w:p>
        </w:tc>
        <w:tc>
          <w:tcPr>
            <w:tcW w:w="1200" w:type="dxa"/>
            <w:tcBorders>
              <w:top w:val="single" w:sz="1" w:space="0" w:color="000000"/>
              <w:left w:val="single" w:sz="1" w:space="0" w:color="000000"/>
              <w:bottom w:val="single" w:sz="1" w:space="0" w:color="000000"/>
              <w:right w:val="single" w:sz="1" w:space="0" w:color="000000"/>
            </w:tcBorders>
          </w:tcPr>
          <w:p w14:paraId="54507ECB" w14:textId="77777777" w:rsidR="00062C35" w:rsidRDefault="00000000">
            <w:pPr>
              <w:jc w:val="center"/>
            </w:pPr>
            <w:r>
              <w:rPr>
                <w:sz w:val="20"/>
                <w:szCs w:val="20"/>
              </w:rPr>
              <w:t>100,00%</w:t>
            </w:r>
          </w:p>
        </w:tc>
        <w:tc>
          <w:tcPr>
            <w:tcW w:w="1200" w:type="dxa"/>
            <w:tcBorders>
              <w:top w:val="single" w:sz="1" w:space="0" w:color="000000"/>
              <w:left w:val="single" w:sz="1" w:space="0" w:color="000000"/>
              <w:bottom w:val="single" w:sz="1" w:space="0" w:color="000000"/>
              <w:right w:val="single" w:sz="1" w:space="0" w:color="000000"/>
            </w:tcBorders>
          </w:tcPr>
          <w:p w14:paraId="2F1D0C56" w14:textId="77777777" w:rsidR="00062C35" w:rsidRDefault="00000000">
            <w:pPr>
              <w:jc w:val="center"/>
            </w:pPr>
            <w:r>
              <w:rPr>
                <w:sz w:val="20"/>
                <w:szCs w:val="20"/>
              </w:rPr>
              <w:t>96,75%</w:t>
            </w:r>
          </w:p>
        </w:tc>
        <w:tc>
          <w:tcPr>
            <w:tcW w:w="1200" w:type="dxa"/>
            <w:tcBorders>
              <w:top w:val="single" w:sz="1" w:space="0" w:color="000000"/>
              <w:left w:val="single" w:sz="1" w:space="0" w:color="000000"/>
              <w:bottom w:val="single" w:sz="1" w:space="0" w:color="000000"/>
              <w:right w:val="single" w:sz="1" w:space="0" w:color="000000"/>
            </w:tcBorders>
          </w:tcPr>
          <w:p w14:paraId="086F09E0" w14:textId="77777777" w:rsidR="00062C35" w:rsidRDefault="00000000">
            <w:pPr>
              <w:jc w:val="center"/>
            </w:pPr>
            <w:r>
              <w:rPr>
                <w:sz w:val="20"/>
                <w:szCs w:val="20"/>
              </w:rPr>
              <w:t>98,35%</w:t>
            </w:r>
          </w:p>
        </w:tc>
        <w:tc>
          <w:tcPr>
            <w:tcW w:w="1200" w:type="dxa"/>
            <w:tcBorders>
              <w:top w:val="single" w:sz="1" w:space="0" w:color="000000"/>
              <w:left w:val="single" w:sz="1" w:space="0" w:color="000000"/>
              <w:bottom w:val="single" w:sz="1" w:space="0" w:color="000000"/>
              <w:right w:val="single" w:sz="1" w:space="0" w:color="000000"/>
            </w:tcBorders>
          </w:tcPr>
          <w:p w14:paraId="26DA868E" w14:textId="77777777" w:rsidR="00062C35" w:rsidRDefault="00000000">
            <w:pPr>
              <w:jc w:val="center"/>
            </w:pPr>
            <w:r>
              <w:rPr>
                <w:sz w:val="20"/>
                <w:szCs w:val="20"/>
              </w:rPr>
              <w:t>0,9975</w:t>
            </w:r>
          </w:p>
        </w:tc>
      </w:tr>
      <w:tr w:rsidR="00062C35" w14:paraId="64A0C74A" w14:textId="77777777">
        <w:tc>
          <w:tcPr>
            <w:tcW w:w="2200" w:type="dxa"/>
            <w:tcBorders>
              <w:top w:val="single" w:sz="1" w:space="0" w:color="000000"/>
              <w:left w:val="single" w:sz="1" w:space="0" w:color="000000"/>
              <w:bottom w:val="single" w:sz="1" w:space="0" w:color="000000"/>
              <w:right w:val="single" w:sz="1" w:space="0" w:color="000000"/>
            </w:tcBorders>
          </w:tcPr>
          <w:p w14:paraId="56BC87D9" w14:textId="77777777" w:rsidR="00062C35" w:rsidRDefault="00000000">
            <w:r>
              <w:rPr>
                <w:sz w:val="20"/>
                <w:szCs w:val="20"/>
              </w:rPr>
              <w:t>Gradient Boosting</w:t>
            </w:r>
          </w:p>
        </w:tc>
        <w:tc>
          <w:tcPr>
            <w:tcW w:w="1200" w:type="dxa"/>
            <w:tcBorders>
              <w:top w:val="single" w:sz="1" w:space="0" w:color="000000"/>
              <w:left w:val="single" w:sz="1" w:space="0" w:color="000000"/>
              <w:bottom w:val="single" w:sz="1" w:space="0" w:color="000000"/>
              <w:right w:val="single" w:sz="1" w:space="0" w:color="000000"/>
            </w:tcBorders>
          </w:tcPr>
          <w:p w14:paraId="19B473F0" w14:textId="77777777" w:rsidR="00062C35" w:rsidRDefault="00000000">
            <w:pPr>
              <w:jc w:val="center"/>
            </w:pPr>
            <w:r>
              <w:rPr>
                <w:sz w:val="20"/>
                <w:szCs w:val="20"/>
              </w:rPr>
              <w:t>99,22%</w:t>
            </w:r>
          </w:p>
        </w:tc>
        <w:tc>
          <w:tcPr>
            <w:tcW w:w="1200" w:type="dxa"/>
            <w:tcBorders>
              <w:top w:val="single" w:sz="1" w:space="0" w:color="000000"/>
              <w:left w:val="single" w:sz="1" w:space="0" w:color="000000"/>
              <w:bottom w:val="single" w:sz="1" w:space="0" w:color="000000"/>
              <w:right w:val="single" w:sz="1" w:space="0" w:color="000000"/>
            </w:tcBorders>
          </w:tcPr>
          <w:p w14:paraId="3AD08B70" w14:textId="77777777" w:rsidR="00062C35" w:rsidRDefault="00000000">
            <w:pPr>
              <w:jc w:val="center"/>
            </w:pPr>
            <w:r>
              <w:rPr>
                <w:sz w:val="20"/>
                <w:szCs w:val="20"/>
              </w:rPr>
              <w:t>98,90%</w:t>
            </w:r>
          </w:p>
        </w:tc>
        <w:tc>
          <w:tcPr>
            <w:tcW w:w="1200" w:type="dxa"/>
            <w:tcBorders>
              <w:top w:val="single" w:sz="1" w:space="0" w:color="000000"/>
              <w:left w:val="single" w:sz="1" w:space="0" w:color="000000"/>
              <w:bottom w:val="single" w:sz="1" w:space="0" w:color="000000"/>
              <w:right w:val="single" w:sz="1" w:space="0" w:color="000000"/>
            </w:tcBorders>
          </w:tcPr>
          <w:p w14:paraId="6D822BF0" w14:textId="77777777" w:rsidR="00062C35" w:rsidRDefault="00000000">
            <w:pPr>
              <w:jc w:val="center"/>
            </w:pPr>
            <w:r>
              <w:rPr>
                <w:sz w:val="20"/>
                <w:szCs w:val="20"/>
              </w:rPr>
              <w:t>97,62%</w:t>
            </w:r>
          </w:p>
        </w:tc>
        <w:tc>
          <w:tcPr>
            <w:tcW w:w="1200" w:type="dxa"/>
            <w:tcBorders>
              <w:top w:val="single" w:sz="1" w:space="0" w:color="000000"/>
              <w:left w:val="single" w:sz="1" w:space="0" w:color="000000"/>
              <w:bottom w:val="single" w:sz="1" w:space="0" w:color="000000"/>
              <w:right w:val="single" w:sz="1" w:space="0" w:color="000000"/>
            </w:tcBorders>
          </w:tcPr>
          <w:p w14:paraId="35DC97BD" w14:textId="77777777" w:rsidR="00062C35" w:rsidRDefault="00000000">
            <w:pPr>
              <w:jc w:val="center"/>
            </w:pPr>
            <w:r>
              <w:rPr>
                <w:sz w:val="20"/>
                <w:szCs w:val="20"/>
              </w:rPr>
              <w:t>98,26%</w:t>
            </w:r>
          </w:p>
        </w:tc>
        <w:tc>
          <w:tcPr>
            <w:tcW w:w="1200" w:type="dxa"/>
            <w:tcBorders>
              <w:top w:val="single" w:sz="1" w:space="0" w:color="000000"/>
              <w:left w:val="single" w:sz="1" w:space="0" w:color="000000"/>
              <w:bottom w:val="single" w:sz="1" w:space="0" w:color="000000"/>
              <w:right w:val="single" w:sz="1" w:space="0" w:color="000000"/>
            </w:tcBorders>
          </w:tcPr>
          <w:p w14:paraId="6AB609BF" w14:textId="77777777" w:rsidR="00062C35" w:rsidRDefault="00000000">
            <w:pPr>
              <w:jc w:val="center"/>
            </w:pPr>
            <w:r>
              <w:rPr>
                <w:sz w:val="20"/>
                <w:szCs w:val="20"/>
              </w:rPr>
              <w:t>0,9901</w:t>
            </w:r>
          </w:p>
        </w:tc>
      </w:tr>
      <w:tr w:rsidR="00062C35" w14:paraId="173C69DD" w14:textId="77777777">
        <w:tc>
          <w:tcPr>
            <w:tcW w:w="2200" w:type="dxa"/>
            <w:tcBorders>
              <w:top w:val="single" w:sz="1" w:space="0" w:color="000000"/>
              <w:left w:val="single" w:sz="1" w:space="0" w:color="000000"/>
              <w:bottom w:val="single" w:sz="1" w:space="0" w:color="000000"/>
              <w:right w:val="single" w:sz="1" w:space="0" w:color="000000"/>
            </w:tcBorders>
          </w:tcPr>
          <w:p w14:paraId="070A5919" w14:textId="77777777" w:rsidR="00062C35" w:rsidRDefault="00000000">
            <w:r>
              <w:rPr>
                <w:sz w:val="20"/>
                <w:szCs w:val="20"/>
              </w:rPr>
              <w:t>Logistic Regression</w:t>
            </w:r>
          </w:p>
        </w:tc>
        <w:tc>
          <w:tcPr>
            <w:tcW w:w="1200" w:type="dxa"/>
            <w:tcBorders>
              <w:top w:val="single" w:sz="1" w:space="0" w:color="000000"/>
              <w:left w:val="single" w:sz="1" w:space="0" w:color="000000"/>
              <w:bottom w:val="single" w:sz="1" w:space="0" w:color="000000"/>
              <w:right w:val="single" w:sz="1" w:space="0" w:color="000000"/>
            </w:tcBorders>
          </w:tcPr>
          <w:p w14:paraId="3308C72F" w14:textId="77777777" w:rsidR="00062C35" w:rsidRDefault="00000000">
            <w:pPr>
              <w:jc w:val="center"/>
            </w:pPr>
            <w:r>
              <w:rPr>
                <w:sz w:val="20"/>
                <w:szCs w:val="20"/>
              </w:rPr>
              <w:t>99,12%</w:t>
            </w:r>
          </w:p>
        </w:tc>
        <w:tc>
          <w:tcPr>
            <w:tcW w:w="1200" w:type="dxa"/>
            <w:tcBorders>
              <w:top w:val="single" w:sz="1" w:space="0" w:color="000000"/>
              <w:left w:val="single" w:sz="1" w:space="0" w:color="000000"/>
              <w:bottom w:val="single" w:sz="1" w:space="0" w:color="000000"/>
              <w:right w:val="single" w:sz="1" w:space="0" w:color="000000"/>
            </w:tcBorders>
          </w:tcPr>
          <w:p w14:paraId="72CE2B44" w14:textId="77777777" w:rsidR="00062C35" w:rsidRDefault="00000000">
            <w:pPr>
              <w:jc w:val="center"/>
            </w:pPr>
            <w:r>
              <w:rPr>
                <w:sz w:val="20"/>
                <w:szCs w:val="20"/>
              </w:rPr>
              <w:t>99,55%</w:t>
            </w:r>
          </w:p>
        </w:tc>
        <w:tc>
          <w:tcPr>
            <w:tcW w:w="1200" w:type="dxa"/>
            <w:tcBorders>
              <w:top w:val="single" w:sz="1" w:space="0" w:color="000000"/>
              <w:left w:val="single" w:sz="1" w:space="0" w:color="000000"/>
              <w:bottom w:val="single" w:sz="1" w:space="0" w:color="000000"/>
              <w:right w:val="single" w:sz="1" w:space="0" w:color="000000"/>
            </w:tcBorders>
          </w:tcPr>
          <w:p w14:paraId="6A5EBDB2" w14:textId="77777777" w:rsidR="00062C35" w:rsidRDefault="00000000">
            <w:pPr>
              <w:jc w:val="center"/>
            </w:pPr>
            <w:r>
              <w:rPr>
                <w:sz w:val="20"/>
                <w:szCs w:val="20"/>
              </w:rPr>
              <w:t>96,54%</w:t>
            </w:r>
          </w:p>
        </w:tc>
        <w:tc>
          <w:tcPr>
            <w:tcW w:w="1200" w:type="dxa"/>
            <w:tcBorders>
              <w:top w:val="single" w:sz="1" w:space="0" w:color="000000"/>
              <w:left w:val="single" w:sz="1" w:space="0" w:color="000000"/>
              <w:bottom w:val="single" w:sz="1" w:space="0" w:color="000000"/>
              <w:right w:val="single" w:sz="1" w:space="0" w:color="000000"/>
            </w:tcBorders>
          </w:tcPr>
          <w:p w14:paraId="4FA04861" w14:textId="77777777" w:rsidR="00062C35" w:rsidRDefault="00000000">
            <w:pPr>
              <w:jc w:val="center"/>
            </w:pPr>
            <w:r>
              <w:rPr>
                <w:sz w:val="20"/>
                <w:szCs w:val="20"/>
              </w:rPr>
              <w:t>98,02%</w:t>
            </w:r>
          </w:p>
        </w:tc>
        <w:tc>
          <w:tcPr>
            <w:tcW w:w="1200" w:type="dxa"/>
            <w:tcBorders>
              <w:top w:val="single" w:sz="1" w:space="0" w:color="000000"/>
              <w:left w:val="single" w:sz="1" w:space="0" w:color="000000"/>
              <w:bottom w:val="single" w:sz="1" w:space="0" w:color="000000"/>
              <w:right w:val="single" w:sz="1" w:space="0" w:color="000000"/>
            </w:tcBorders>
          </w:tcPr>
          <w:p w14:paraId="53058E99" w14:textId="77777777" w:rsidR="00062C35" w:rsidRDefault="00000000">
            <w:pPr>
              <w:jc w:val="center"/>
            </w:pPr>
            <w:r>
              <w:rPr>
                <w:sz w:val="20"/>
                <w:szCs w:val="20"/>
              </w:rPr>
              <w:t>0,9984</w:t>
            </w:r>
          </w:p>
        </w:tc>
      </w:tr>
      <w:tr w:rsidR="00062C35" w14:paraId="177AECE9" w14:textId="77777777">
        <w:tc>
          <w:tcPr>
            <w:tcW w:w="2200" w:type="dxa"/>
            <w:tcBorders>
              <w:top w:val="single" w:sz="1" w:space="0" w:color="000000"/>
              <w:left w:val="single" w:sz="1" w:space="0" w:color="000000"/>
              <w:bottom w:val="single" w:sz="1" w:space="0" w:color="000000"/>
              <w:right w:val="single" w:sz="1" w:space="0" w:color="000000"/>
            </w:tcBorders>
          </w:tcPr>
          <w:p w14:paraId="03B5F471" w14:textId="77777777" w:rsidR="00062C35" w:rsidRDefault="00000000">
            <w:r>
              <w:rPr>
                <w:sz w:val="20"/>
                <w:szCs w:val="20"/>
              </w:rPr>
              <w:t>Naive Bayes</w:t>
            </w:r>
          </w:p>
        </w:tc>
        <w:tc>
          <w:tcPr>
            <w:tcW w:w="1200" w:type="dxa"/>
            <w:tcBorders>
              <w:top w:val="single" w:sz="1" w:space="0" w:color="000000"/>
              <w:left w:val="single" w:sz="1" w:space="0" w:color="000000"/>
              <w:bottom w:val="single" w:sz="1" w:space="0" w:color="000000"/>
              <w:right w:val="single" w:sz="1" w:space="0" w:color="000000"/>
            </w:tcBorders>
          </w:tcPr>
          <w:p w14:paraId="766F4C85" w14:textId="77777777" w:rsidR="00062C35" w:rsidRDefault="00000000">
            <w:pPr>
              <w:jc w:val="center"/>
            </w:pPr>
            <w:r>
              <w:rPr>
                <w:sz w:val="20"/>
                <w:szCs w:val="20"/>
              </w:rPr>
              <w:t>96,20%</w:t>
            </w:r>
          </w:p>
        </w:tc>
        <w:tc>
          <w:tcPr>
            <w:tcW w:w="1200" w:type="dxa"/>
            <w:tcBorders>
              <w:top w:val="single" w:sz="1" w:space="0" w:color="000000"/>
              <w:left w:val="single" w:sz="1" w:space="0" w:color="000000"/>
              <w:bottom w:val="single" w:sz="1" w:space="0" w:color="000000"/>
              <w:right w:val="single" w:sz="1" w:space="0" w:color="000000"/>
            </w:tcBorders>
          </w:tcPr>
          <w:p w14:paraId="26D7705F" w14:textId="77777777" w:rsidR="00062C35" w:rsidRDefault="00000000">
            <w:pPr>
              <w:jc w:val="center"/>
            </w:pPr>
            <w:r>
              <w:rPr>
                <w:sz w:val="20"/>
                <w:szCs w:val="20"/>
              </w:rPr>
              <w:t>95,07%</w:t>
            </w:r>
          </w:p>
        </w:tc>
        <w:tc>
          <w:tcPr>
            <w:tcW w:w="1200" w:type="dxa"/>
            <w:tcBorders>
              <w:top w:val="single" w:sz="1" w:space="0" w:color="000000"/>
              <w:left w:val="single" w:sz="1" w:space="0" w:color="000000"/>
              <w:bottom w:val="single" w:sz="1" w:space="0" w:color="000000"/>
              <w:right w:val="single" w:sz="1" w:space="0" w:color="000000"/>
            </w:tcBorders>
          </w:tcPr>
          <w:p w14:paraId="31FEAF46" w14:textId="77777777" w:rsidR="00062C35" w:rsidRDefault="00000000">
            <w:pPr>
              <w:jc w:val="center"/>
            </w:pPr>
            <w:r>
              <w:rPr>
                <w:sz w:val="20"/>
                <w:szCs w:val="20"/>
              </w:rPr>
              <w:t>87,66%</w:t>
            </w:r>
          </w:p>
        </w:tc>
        <w:tc>
          <w:tcPr>
            <w:tcW w:w="1200" w:type="dxa"/>
            <w:tcBorders>
              <w:top w:val="single" w:sz="1" w:space="0" w:color="000000"/>
              <w:left w:val="single" w:sz="1" w:space="0" w:color="000000"/>
              <w:bottom w:val="single" w:sz="1" w:space="0" w:color="000000"/>
              <w:right w:val="single" w:sz="1" w:space="0" w:color="000000"/>
            </w:tcBorders>
          </w:tcPr>
          <w:p w14:paraId="1296E434" w14:textId="77777777" w:rsidR="00062C35" w:rsidRDefault="00000000">
            <w:pPr>
              <w:jc w:val="center"/>
            </w:pPr>
            <w:r>
              <w:rPr>
                <w:sz w:val="20"/>
                <w:szCs w:val="20"/>
              </w:rPr>
              <w:t>91,22%</w:t>
            </w:r>
          </w:p>
        </w:tc>
        <w:tc>
          <w:tcPr>
            <w:tcW w:w="1200" w:type="dxa"/>
            <w:tcBorders>
              <w:top w:val="single" w:sz="1" w:space="0" w:color="000000"/>
              <w:left w:val="single" w:sz="1" w:space="0" w:color="000000"/>
              <w:bottom w:val="single" w:sz="1" w:space="0" w:color="000000"/>
              <w:right w:val="single" w:sz="1" w:space="0" w:color="000000"/>
            </w:tcBorders>
          </w:tcPr>
          <w:p w14:paraId="41BD5537" w14:textId="77777777" w:rsidR="00062C35" w:rsidRDefault="00000000">
            <w:pPr>
              <w:jc w:val="center"/>
            </w:pPr>
            <w:r>
              <w:rPr>
                <w:sz w:val="20"/>
                <w:szCs w:val="20"/>
              </w:rPr>
              <w:t>0,9894</w:t>
            </w:r>
          </w:p>
        </w:tc>
      </w:tr>
    </w:tbl>
    <w:p w14:paraId="61DF5686" w14:textId="77777777" w:rsidR="00062C35" w:rsidRDefault="00000000">
      <w:pPr>
        <w:spacing w:after="360"/>
        <w:jc w:val="center"/>
      </w:pPr>
      <w:r>
        <w:rPr>
          <w:i/>
          <w:iCs/>
          <w:sz w:val="20"/>
          <w:szCs w:val="20"/>
        </w:rPr>
        <w:t xml:space="preserve">Fonte: </w:t>
      </w:r>
      <w:proofErr w:type="spellStart"/>
      <w:r>
        <w:rPr>
          <w:i/>
          <w:iCs/>
          <w:sz w:val="20"/>
          <w:szCs w:val="20"/>
        </w:rPr>
        <w:t>Elaborado</w:t>
      </w:r>
      <w:proofErr w:type="spellEnd"/>
      <w:r>
        <w:rPr>
          <w:i/>
          <w:iCs/>
          <w:sz w:val="20"/>
          <w:szCs w:val="20"/>
        </w:rPr>
        <w:t xml:space="preserve"> </w:t>
      </w:r>
      <w:proofErr w:type="spellStart"/>
      <w:r>
        <w:rPr>
          <w:i/>
          <w:iCs/>
          <w:sz w:val="20"/>
          <w:szCs w:val="20"/>
        </w:rPr>
        <w:t>pelo</w:t>
      </w:r>
      <w:proofErr w:type="spellEnd"/>
      <w:r>
        <w:rPr>
          <w:i/>
          <w:iCs/>
          <w:sz w:val="20"/>
          <w:szCs w:val="20"/>
        </w:rPr>
        <w:t xml:space="preserve"> </w:t>
      </w:r>
      <w:proofErr w:type="spellStart"/>
      <w:r>
        <w:rPr>
          <w:i/>
          <w:iCs/>
          <w:sz w:val="20"/>
          <w:szCs w:val="20"/>
        </w:rPr>
        <w:t>autor</w:t>
      </w:r>
      <w:proofErr w:type="spellEnd"/>
      <w:r>
        <w:rPr>
          <w:i/>
          <w:iCs/>
          <w:sz w:val="20"/>
          <w:szCs w:val="20"/>
        </w:rPr>
        <w:t xml:space="preserve"> (2025)</w:t>
      </w:r>
    </w:p>
    <w:p w14:paraId="50072F24" w14:textId="77777777" w:rsidR="00062C35" w:rsidRPr="002C6705" w:rsidRDefault="00000000">
      <w:pPr>
        <w:spacing w:after="200" w:line="360" w:lineRule="auto"/>
        <w:ind w:firstLine="720"/>
        <w:jc w:val="both"/>
        <w:rPr>
          <w:lang w:val="pt-BR"/>
        </w:rPr>
      </w:pPr>
      <w:r w:rsidRPr="002C6705">
        <w:rPr>
          <w:lang w:val="pt-BR"/>
        </w:rPr>
        <w:t>O SVM com kernel linear destacou-se como o melhor classificador, alcançando o maior F1-Score (98,69%) e o melhor equilíbrio entre precisão e recall. O Random Forest apresentou precisão de 100%, porém com recall ligeiramente inferior.</w:t>
      </w:r>
    </w:p>
    <w:p w14:paraId="3EA85776" w14:textId="77777777" w:rsidR="00062C35" w:rsidRDefault="00000000">
      <w:pPr>
        <w:spacing w:before="200" w:after="100"/>
        <w:jc w:val="center"/>
      </w:pPr>
      <w:r>
        <w:rPr>
          <w:noProof/>
        </w:rPr>
        <w:drawing>
          <wp:inline distT="0" distB="0" distL="0" distR="0" wp14:anchorId="0D902F2E" wp14:editId="6F6EBE37">
            <wp:extent cx="4762500" cy="2095500"/>
            <wp:effectExtent l="0" t="0" r="0" b="0"/>
            <wp:docPr id="488895777" name="Fig4" descr="Comparação de métricas" title="Compar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095500"/>
                    </a:xfrm>
                    <a:prstGeom prst="rect">
                      <a:avLst/>
                    </a:prstGeom>
                  </pic:spPr>
                </pic:pic>
              </a:graphicData>
            </a:graphic>
          </wp:inline>
        </w:drawing>
      </w:r>
    </w:p>
    <w:p w14:paraId="5B302C79" w14:textId="77777777" w:rsidR="00062C35" w:rsidRPr="002C6705" w:rsidRDefault="00000000">
      <w:pPr>
        <w:spacing w:after="360"/>
        <w:jc w:val="center"/>
        <w:rPr>
          <w:lang w:val="pt-BR"/>
        </w:rPr>
      </w:pPr>
      <w:r w:rsidRPr="002C6705">
        <w:rPr>
          <w:i/>
          <w:iCs/>
          <w:sz w:val="22"/>
          <w:szCs w:val="22"/>
          <w:lang w:val="pt-BR"/>
        </w:rPr>
        <w:t>Figura 4 – Comparação de métricas de desempenho por modelo</w:t>
      </w:r>
    </w:p>
    <w:p w14:paraId="6226F94B" w14:textId="77777777" w:rsidR="00062C35" w:rsidRPr="002C6705" w:rsidRDefault="00000000">
      <w:pPr>
        <w:pStyle w:val="Ttulo2"/>
        <w:rPr>
          <w:lang w:val="pt-BR"/>
        </w:rPr>
      </w:pPr>
      <w:r w:rsidRPr="002C6705">
        <w:rPr>
          <w:lang w:val="pt-BR"/>
        </w:rPr>
        <w:t>4.3 Análise das Curvas ROC e Matrizes de Confusão</w:t>
      </w:r>
    </w:p>
    <w:p w14:paraId="0C369C33" w14:textId="77777777" w:rsidR="00062C35" w:rsidRPr="002C6705" w:rsidRDefault="00000000">
      <w:pPr>
        <w:spacing w:after="200" w:line="360" w:lineRule="auto"/>
        <w:ind w:firstLine="720"/>
        <w:jc w:val="both"/>
        <w:rPr>
          <w:lang w:val="pt-BR"/>
        </w:rPr>
      </w:pPr>
      <w:r w:rsidRPr="002C6705">
        <w:rPr>
          <w:lang w:val="pt-BR"/>
        </w:rPr>
        <w:lastRenderedPageBreak/>
        <w:t>Todos os modelos apresentaram AUC superior a 0,98. A Regressão Logística obteve o maior AUC (0,9984), seguida pelo Random Forest (0,9975) e SVM (0,9957).</w:t>
      </w:r>
    </w:p>
    <w:p w14:paraId="2612FDDC" w14:textId="77777777" w:rsidR="00062C35" w:rsidRDefault="00000000">
      <w:pPr>
        <w:spacing w:before="200" w:after="100"/>
        <w:jc w:val="center"/>
      </w:pPr>
      <w:r>
        <w:rPr>
          <w:noProof/>
        </w:rPr>
        <w:drawing>
          <wp:inline distT="0" distB="0" distL="0" distR="0" wp14:anchorId="06844144" wp14:editId="1AC875CB">
            <wp:extent cx="4286250" cy="3619500"/>
            <wp:effectExtent l="0" t="0" r="0" b="0"/>
            <wp:docPr id="874147516" name="Fig5" descr="Curvas ROC" title="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86250" cy="3619500"/>
                    </a:xfrm>
                    <a:prstGeom prst="rect">
                      <a:avLst/>
                    </a:prstGeom>
                  </pic:spPr>
                </pic:pic>
              </a:graphicData>
            </a:graphic>
          </wp:inline>
        </w:drawing>
      </w:r>
    </w:p>
    <w:p w14:paraId="41A1B6A4" w14:textId="77777777" w:rsidR="00062C35" w:rsidRPr="002C6705" w:rsidRDefault="00000000">
      <w:pPr>
        <w:spacing w:after="360"/>
        <w:jc w:val="center"/>
        <w:rPr>
          <w:lang w:val="pt-BR"/>
        </w:rPr>
      </w:pPr>
      <w:r w:rsidRPr="002C6705">
        <w:rPr>
          <w:i/>
          <w:iCs/>
          <w:sz w:val="22"/>
          <w:szCs w:val="22"/>
          <w:lang w:val="pt-BR"/>
        </w:rPr>
        <w:t>Figura 5 – Curvas ROC comparativas dos modelos de classificação</w:t>
      </w:r>
    </w:p>
    <w:p w14:paraId="73E8839F" w14:textId="77777777" w:rsidR="00062C35" w:rsidRPr="002C6705" w:rsidRDefault="00000000">
      <w:pPr>
        <w:spacing w:after="200" w:line="360" w:lineRule="auto"/>
        <w:ind w:firstLine="720"/>
        <w:jc w:val="both"/>
        <w:rPr>
          <w:lang w:val="pt-BR"/>
        </w:rPr>
      </w:pPr>
      <w:r w:rsidRPr="002C6705">
        <w:rPr>
          <w:lang w:val="pt-BR"/>
        </w:rPr>
        <w:t>O SVM apresentou apenas 12 erros totais (1 falso positivo e 11 falsos negativos) em 2.053 predições. O Random Forest mostrou 15 erros (0 falsos positivos e 15 falsos negativos).</w:t>
      </w:r>
    </w:p>
    <w:p w14:paraId="3A0E66FE" w14:textId="77777777" w:rsidR="00062C35" w:rsidRDefault="00000000">
      <w:pPr>
        <w:spacing w:before="200" w:after="100"/>
        <w:jc w:val="center"/>
      </w:pPr>
      <w:r>
        <w:rPr>
          <w:noProof/>
        </w:rPr>
        <w:drawing>
          <wp:inline distT="0" distB="0" distL="0" distR="0" wp14:anchorId="175BA70B" wp14:editId="3224109D">
            <wp:extent cx="5238750" cy="3333750"/>
            <wp:effectExtent l="0" t="0" r="0" b="0"/>
            <wp:docPr id="1077903774" name="Fig6" descr="Matrizes de confusão" title="Confus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3333750"/>
                    </a:xfrm>
                    <a:prstGeom prst="rect">
                      <a:avLst/>
                    </a:prstGeom>
                  </pic:spPr>
                </pic:pic>
              </a:graphicData>
            </a:graphic>
          </wp:inline>
        </w:drawing>
      </w:r>
    </w:p>
    <w:p w14:paraId="5591FE68" w14:textId="77777777" w:rsidR="00062C35" w:rsidRPr="002C6705" w:rsidRDefault="00000000">
      <w:pPr>
        <w:spacing w:after="360"/>
        <w:jc w:val="center"/>
        <w:rPr>
          <w:lang w:val="pt-BR"/>
        </w:rPr>
      </w:pPr>
      <w:r w:rsidRPr="002C6705">
        <w:rPr>
          <w:i/>
          <w:iCs/>
          <w:sz w:val="22"/>
          <w:szCs w:val="22"/>
          <w:lang w:val="pt-BR"/>
        </w:rPr>
        <w:lastRenderedPageBreak/>
        <w:t>Figura 6 – Matrizes de confusão dos cinco modelos de classificação</w:t>
      </w:r>
    </w:p>
    <w:p w14:paraId="5CD9B758" w14:textId="77777777" w:rsidR="00062C35" w:rsidRPr="002C6705" w:rsidRDefault="00000000">
      <w:pPr>
        <w:pStyle w:val="Ttulo2"/>
        <w:rPr>
          <w:lang w:val="pt-BR"/>
        </w:rPr>
      </w:pPr>
      <w:r w:rsidRPr="002C6705">
        <w:rPr>
          <w:lang w:val="pt-BR"/>
        </w:rPr>
        <w:t>4.4 Validação Cruzada</w:t>
      </w:r>
    </w:p>
    <w:p w14:paraId="275B8376" w14:textId="77777777" w:rsidR="00062C35" w:rsidRPr="002C6705" w:rsidRDefault="00000000">
      <w:pPr>
        <w:spacing w:after="200" w:line="360" w:lineRule="auto"/>
        <w:ind w:firstLine="720"/>
        <w:jc w:val="both"/>
        <w:rPr>
          <w:lang w:val="pt-BR"/>
        </w:rPr>
      </w:pPr>
      <w:r w:rsidRPr="002C6705">
        <w:rPr>
          <w:lang w:val="pt-BR"/>
        </w:rPr>
        <w:t xml:space="preserve">A validação cruzada de 5 </w:t>
      </w:r>
      <w:proofErr w:type="spellStart"/>
      <w:r w:rsidRPr="002C6705">
        <w:rPr>
          <w:lang w:val="pt-BR"/>
        </w:rPr>
        <w:t>folds</w:t>
      </w:r>
      <w:proofErr w:type="spellEnd"/>
      <w:r w:rsidRPr="002C6705">
        <w:rPr>
          <w:lang w:val="pt-BR"/>
        </w:rPr>
        <w:t xml:space="preserve"> confirmou a estabilidade dos modelos. O Random Forest apresentou F1-Score médio de 0,986, seguido pelo SVM (0,982), </w:t>
      </w:r>
      <w:proofErr w:type="spellStart"/>
      <w:r w:rsidRPr="002C6705">
        <w:rPr>
          <w:lang w:val="pt-BR"/>
        </w:rPr>
        <w:t>Logistic</w:t>
      </w:r>
      <w:proofErr w:type="spellEnd"/>
      <w:r w:rsidRPr="002C6705">
        <w:rPr>
          <w:lang w:val="pt-BR"/>
        </w:rPr>
        <w:t xml:space="preserve"> </w:t>
      </w:r>
      <w:proofErr w:type="spellStart"/>
      <w:r w:rsidRPr="002C6705">
        <w:rPr>
          <w:lang w:val="pt-BR"/>
        </w:rPr>
        <w:t>Regression</w:t>
      </w:r>
      <w:proofErr w:type="spellEnd"/>
      <w:r w:rsidRPr="002C6705">
        <w:rPr>
          <w:lang w:val="pt-BR"/>
        </w:rPr>
        <w:t xml:space="preserve"> (0,980), </w:t>
      </w:r>
      <w:proofErr w:type="spellStart"/>
      <w:r w:rsidRPr="002C6705">
        <w:rPr>
          <w:lang w:val="pt-BR"/>
        </w:rPr>
        <w:t>Gradient</w:t>
      </w:r>
      <w:proofErr w:type="spellEnd"/>
      <w:r w:rsidRPr="002C6705">
        <w:rPr>
          <w:lang w:val="pt-BR"/>
        </w:rPr>
        <w:t xml:space="preserve"> </w:t>
      </w:r>
      <w:proofErr w:type="spellStart"/>
      <w:r w:rsidRPr="002C6705">
        <w:rPr>
          <w:lang w:val="pt-BR"/>
        </w:rPr>
        <w:t>Boosting</w:t>
      </w:r>
      <w:proofErr w:type="spellEnd"/>
      <w:r w:rsidRPr="002C6705">
        <w:rPr>
          <w:lang w:val="pt-BR"/>
        </w:rPr>
        <w:t xml:space="preserve"> (0,977) e </w:t>
      </w:r>
      <w:proofErr w:type="spellStart"/>
      <w:r w:rsidRPr="002C6705">
        <w:rPr>
          <w:lang w:val="pt-BR"/>
        </w:rPr>
        <w:t>Naive</w:t>
      </w:r>
      <w:proofErr w:type="spellEnd"/>
      <w:r w:rsidRPr="002C6705">
        <w:rPr>
          <w:lang w:val="pt-BR"/>
        </w:rPr>
        <w:t xml:space="preserve"> </w:t>
      </w:r>
      <w:proofErr w:type="spellStart"/>
      <w:r w:rsidRPr="002C6705">
        <w:rPr>
          <w:lang w:val="pt-BR"/>
        </w:rPr>
        <w:t>Bayes</w:t>
      </w:r>
      <w:proofErr w:type="spellEnd"/>
      <w:r w:rsidRPr="002C6705">
        <w:rPr>
          <w:lang w:val="pt-BR"/>
        </w:rPr>
        <w:t xml:space="preserve"> (0,913).</w:t>
      </w:r>
    </w:p>
    <w:p w14:paraId="7CCF0D32" w14:textId="77777777" w:rsidR="00062C35" w:rsidRDefault="00000000">
      <w:pPr>
        <w:spacing w:before="200" w:after="100"/>
        <w:jc w:val="center"/>
      </w:pPr>
      <w:r>
        <w:rPr>
          <w:noProof/>
        </w:rPr>
        <w:drawing>
          <wp:inline distT="0" distB="0" distL="0" distR="0" wp14:anchorId="2C9E12AE" wp14:editId="473F672A">
            <wp:extent cx="4762500" cy="2095500"/>
            <wp:effectExtent l="0" t="0" r="0" b="0"/>
            <wp:docPr id="1646859367" name="Fig7" descr="Validação cruzada" title="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095500"/>
                    </a:xfrm>
                    <a:prstGeom prst="rect">
                      <a:avLst/>
                    </a:prstGeom>
                  </pic:spPr>
                </pic:pic>
              </a:graphicData>
            </a:graphic>
          </wp:inline>
        </w:drawing>
      </w:r>
    </w:p>
    <w:p w14:paraId="2E3A345F" w14:textId="77777777" w:rsidR="00062C35" w:rsidRPr="002C6705" w:rsidRDefault="00000000">
      <w:pPr>
        <w:spacing w:after="360"/>
        <w:jc w:val="center"/>
        <w:rPr>
          <w:lang w:val="pt-BR"/>
        </w:rPr>
      </w:pPr>
      <w:r w:rsidRPr="002C6705">
        <w:rPr>
          <w:i/>
          <w:iCs/>
          <w:sz w:val="22"/>
          <w:szCs w:val="22"/>
          <w:lang w:val="pt-BR"/>
        </w:rPr>
        <w:t>Figura 7 – Validação cruzada (5-fold) - F1-Score médio por modelo</w:t>
      </w:r>
    </w:p>
    <w:p w14:paraId="09F7E812" w14:textId="77777777" w:rsidR="00062C35" w:rsidRPr="002C6705" w:rsidRDefault="00000000">
      <w:pPr>
        <w:pStyle w:val="Ttulo2"/>
        <w:rPr>
          <w:lang w:val="pt-BR"/>
        </w:rPr>
      </w:pPr>
      <w:r w:rsidRPr="002C6705">
        <w:rPr>
          <w:lang w:val="pt-BR"/>
        </w:rPr>
        <w:t>4.5 Assertividade Final e Limitações</w:t>
      </w:r>
    </w:p>
    <w:p w14:paraId="068EBFED" w14:textId="77777777" w:rsidR="00062C35" w:rsidRPr="002C6705" w:rsidRDefault="00000000">
      <w:pPr>
        <w:spacing w:after="200" w:line="360" w:lineRule="auto"/>
        <w:ind w:firstLine="720"/>
        <w:jc w:val="both"/>
        <w:rPr>
          <w:lang w:val="pt-BR"/>
        </w:rPr>
      </w:pPr>
      <w:r w:rsidRPr="002C6705">
        <w:rPr>
          <w:lang w:val="pt-BR"/>
        </w:rPr>
        <w:t xml:space="preserve">A validação final demonstrou que o SVM acertou 99,42% das classificações, Random Forest 99,27%, </w:t>
      </w:r>
      <w:proofErr w:type="spellStart"/>
      <w:r w:rsidRPr="002C6705">
        <w:rPr>
          <w:lang w:val="pt-BR"/>
        </w:rPr>
        <w:t>Gradient</w:t>
      </w:r>
      <w:proofErr w:type="spellEnd"/>
      <w:r w:rsidRPr="002C6705">
        <w:rPr>
          <w:lang w:val="pt-BR"/>
        </w:rPr>
        <w:t xml:space="preserve"> </w:t>
      </w:r>
      <w:proofErr w:type="spellStart"/>
      <w:r w:rsidRPr="002C6705">
        <w:rPr>
          <w:lang w:val="pt-BR"/>
        </w:rPr>
        <w:t>Boosting</w:t>
      </w:r>
      <w:proofErr w:type="spellEnd"/>
      <w:r w:rsidRPr="002C6705">
        <w:rPr>
          <w:lang w:val="pt-BR"/>
        </w:rPr>
        <w:t xml:space="preserve"> 99,22%, </w:t>
      </w:r>
      <w:proofErr w:type="spellStart"/>
      <w:r w:rsidRPr="002C6705">
        <w:rPr>
          <w:lang w:val="pt-BR"/>
        </w:rPr>
        <w:t>Logistic</w:t>
      </w:r>
      <w:proofErr w:type="spellEnd"/>
      <w:r w:rsidRPr="002C6705">
        <w:rPr>
          <w:lang w:val="pt-BR"/>
        </w:rPr>
        <w:t xml:space="preserve"> </w:t>
      </w:r>
      <w:proofErr w:type="spellStart"/>
      <w:r w:rsidRPr="002C6705">
        <w:rPr>
          <w:lang w:val="pt-BR"/>
        </w:rPr>
        <w:t>Regression</w:t>
      </w:r>
      <w:proofErr w:type="spellEnd"/>
      <w:r w:rsidRPr="002C6705">
        <w:rPr>
          <w:lang w:val="pt-BR"/>
        </w:rPr>
        <w:t xml:space="preserve"> 99,12% e </w:t>
      </w:r>
      <w:proofErr w:type="spellStart"/>
      <w:r w:rsidRPr="002C6705">
        <w:rPr>
          <w:lang w:val="pt-BR"/>
        </w:rPr>
        <w:t>Naive</w:t>
      </w:r>
      <w:proofErr w:type="spellEnd"/>
      <w:r w:rsidRPr="002C6705">
        <w:rPr>
          <w:lang w:val="pt-BR"/>
        </w:rPr>
        <w:t xml:space="preserve"> </w:t>
      </w:r>
      <w:proofErr w:type="spellStart"/>
      <w:r w:rsidRPr="002C6705">
        <w:rPr>
          <w:lang w:val="pt-BR"/>
        </w:rPr>
        <w:t>Bayes</w:t>
      </w:r>
      <w:proofErr w:type="spellEnd"/>
      <w:r w:rsidRPr="002C6705">
        <w:rPr>
          <w:lang w:val="pt-BR"/>
        </w:rPr>
        <w:t xml:space="preserve"> 96,20%.</w:t>
      </w:r>
    </w:p>
    <w:p w14:paraId="2D65A238" w14:textId="77777777" w:rsidR="00062C35" w:rsidRDefault="00000000">
      <w:pPr>
        <w:spacing w:before="200" w:after="100"/>
        <w:jc w:val="center"/>
      </w:pPr>
      <w:r>
        <w:rPr>
          <w:noProof/>
        </w:rPr>
        <w:drawing>
          <wp:inline distT="0" distB="0" distL="0" distR="0" wp14:anchorId="66659ACF" wp14:editId="62F0EE42">
            <wp:extent cx="5238750" cy="1714500"/>
            <wp:effectExtent l="0" t="0" r="0" b="0"/>
            <wp:docPr id="2006225528" name="Fig8" descr="Assertividade" title="Ass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38750" cy="1714500"/>
                    </a:xfrm>
                    <a:prstGeom prst="rect">
                      <a:avLst/>
                    </a:prstGeom>
                  </pic:spPr>
                </pic:pic>
              </a:graphicData>
            </a:graphic>
          </wp:inline>
        </w:drawing>
      </w:r>
    </w:p>
    <w:p w14:paraId="2F0CFDE2" w14:textId="77777777" w:rsidR="00062C35" w:rsidRPr="002C6705" w:rsidRDefault="00000000">
      <w:pPr>
        <w:spacing w:after="360"/>
        <w:jc w:val="center"/>
        <w:rPr>
          <w:lang w:val="pt-BR"/>
        </w:rPr>
      </w:pPr>
      <w:r w:rsidRPr="002C6705">
        <w:rPr>
          <w:i/>
          <w:iCs/>
          <w:sz w:val="22"/>
          <w:szCs w:val="22"/>
          <w:lang w:val="pt-BR"/>
        </w:rPr>
        <w:t xml:space="preserve">Figura 8 – Assertividade dos modelos e quantidade de acertos </w:t>
      </w:r>
      <w:proofErr w:type="spellStart"/>
      <w:r w:rsidRPr="002C6705">
        <w:rPr>
          <w:i/>
          <w:iCs/>
          <w:sz w:val="22"/>
          <w:szCs w:val="22"/>
          <w:lang w:val="pt-BR"/>
        </w:rPr>
        <w:t>vs</w:t>
      </w:r>
      <w:proofErr w:type="spellEnd"/>
      <w:r w:rsidRPr="002C6705">
        <w:rPr>
          <w:i/>
          <w:iCs/>
          <w:sz w:val="22"/>
          <w:szCs w:val="22"/>
          <w:lang w:val="pt-BR"/>
        </w:rPr>
        <w:t xml:space="preserve"> erros</w:t>
      </w:r>
    </w:p>
    <w:p w14:paraId="2074A224" w14:textId="77777777" w:rsidR="00062C35" w:rsidRPr="002C6705" w:rsidRDefault="00000000">
      <w:pPr>
        <w:spacing w:after="360" w:line="360" w:lineRule="auto"/>
        <w:ind w:firstLine="720"/>
        <w:jc w:val="both"/>
        <w:rPr>
          <w:lang w:val="pt-BR"/>
        </w:rPr>
      </w:pPr>
      <w:r w:rsidRPr="002C6705">
        <w:rPr>
          <w:lang w:val="pt-BR"/>
        </w:rPr>
        <w:t>É fundamental reconhecer as limitações desta abordagem. O modelo detecta indicadores linguísticos de depressão, não realiza diagnóstico clínico. A presença de padrões textuais associados a depressão não implica necessariamente que o indivíduo sofra do transtorno. O modelo deve ser visto como ferramenta auxiliar de triagem, não substituindo avaliação profissional.</w:t>
      </w:r>
    </w:p>
    <w:p w14:paraId="437476E8" w14:textId="2A055586" w:rsidR="00266023" w:rsidRDefault="00266023" w:rsidP="00266023">
      <w:pPr>
        <w:pStyle w:val="Ttulo2"/>
        <w:rPr>
          <w:lang w:val="pt-BR"/>
        </w:rPr>
      </w:pPr>
      <w:r>
        <w:rPr>
          <w:lang w:val="pt-BR"/>
        </w:rPr>
        <w:lastRenderedPageBreak/>
        <w:t xml:space="preserve">4.6 </w:t>
      </w:r>
      <w:r w:rsidRPr="00266023">
        <w:rPr>
          <w:lang w:val="pt-BR"/>
        </w:rPr>
        <w:t>Fluxo Metodológico do Sistema</w:t>
      </w:r>
    </w:p>
    <w:p w14:paraId="1BEFCBDF" w14:textId="44EF02BD" w:rsidR="00266023" w:rsidRDefault="00266023" w:rsidP="00266023">
      <w:pPr>
        <w:pStyle w:val="Ttulo2"/>
        <w:rPr>
          <w:lang w:val="pt-BR"/>
        </w:rPr>
      </w:pPr>
      <w:r>
        <w:rPr>
          <w:noProof/>
          <w:lang w:val="pt-BR"/>
        </w:rPr>
        <w:drawing>
          <wp:inline distT="0" distB="0" distL="0" distR="0" wp14:anchorId="2048F39D" wp14:editId="0556883F">
            <wp:extent cx="5731510" cy="5405120"/>
            <wp:effectExtent l="0" t="0" r="2540" b="5080"/>
            <wp:docPr id="381071779"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71779" name="Imagem 1" descr="Diagrama&#10;&#10;O conteúdo gerado por IA pode estar incorreto."/>
                    <pic:cNvPicPr/>
                  </pic:nvPicPr>
                  <pic:blipFill>
                    <a:blip r:embed="rId15">
                      <a:extLst>
                        <a:ext uri="{28A0092B-C50C-407E-A947-70E740481C1C}">
                          <a14:useLocalDpi xmlns:a14="http://schemas.microsoft.com/office/drawing/2010/main" val="0"/>
                        </a:ext>
                      </a:extLst>
                    </a:blip>
                    <a:stretch>
                      <a:fillRect/>
                    </a:stretch>
                  </pic:blipFill>
                  <pic:spPr>
                    <a:xfrm>
                      <a:off x="0" y="0"/>
                      <a:ext cx="5731510" cy="5405120"/>
                    </a:xfrm>
                    <a:prstGeom prst="rect">
                      <a:avLst/>
                    </a:prstGeom>
                  </pic:spPr>
                </pic:pic>
              </a:graphicData>
            </a:graphic>
          </wp:inline>
        </w:drawing>
      </w:r>
    </w:p>
    <w:p w14:paraId="4CE0257F" w14:textId="6E10DB04" w:rsidR="00266023" w:rsidRPr="00266023" w:rsidRDefault="00266023" w:rsidP="00266023">
      <w:pPr>
        <w:spacing w:after="360"/>
        <w:jc w:val="center"/>
        <w:rPr>
          <w:lang w:val="pt-BR"/>
        </w:rPr>
      </w:pPr>
      <w:r w:rsidRPr="00266023">
        <w:rPr>
          <w:i/>
          <w:iCs/>
          <w:sz w:val="22"/>
          <w:szCs w:val="22"/>
          <w:lang w:val="pt-BR"/>
        </w:rPr>
        <w:t>[Figura9: Diagrama de fluxo metodológic</w:t>
      </w:r>
      <w:r>
        <w:rPr>
          <w:i/>
          <w:iCs/>
          <w:sz w:val="22"/>
          <w:szCs w:val="22"/>
          <w:lang w:val="pt-BR"/>
        </w:rPr>
        <w:t>o</w:t>
      </w:r>
      <w:r w:rsidRPr="00266023">
        <w:rPr>
          <w:i/>
          <w:iCs/>
          <w:sz w:val="22"/>
          <w:szCs w:val="22"/>
          <w:lang w:val="pt-BR"/>
        </w:rPr>
        <w:t>]</w:t>
      </w:r>
      <w:r w:rsidRPr="00266023">
        <w:rPr>
          <w:i/>
          <w:iCs/>
          <w:sz w:val="22"/>
          <w:szCs w:val="22"/>
          <w:lang w:val="pt-BR"/>
        </w:rPr>
        <w:br/>
      </w:r>
    </w:p>
    <w:p w14:paraId="660279F2" w14:textId="5AD37C96" w:rsidR="00266023" w:rsidRPr="00266023" w:rsidRDefault="00266023" w:rsidP="00266023">
      <w:pPr>
        <w:spacing w:after="200" w:line="360" w:lineRule="auto"/>
        <w:ind w:firstLine="720"/>
        <w:jc w:val="both"/>
        <w:rPr>
          <w:lang w:val="pt-BR"/>
        </w:rPr>
      </w:pPr>
      <w:r w:rsidRPr="00266023">
        <w:rPr>
          <w:lang w:val="pt-BR"/>
        </w:rPr>
        <w:t>F</w:t>
      </w:r>
      <w:r w:rsidRPr="00266023">
        <w:rPr>
          <w:lang w:val="pt-BR"/>
        </w:rPr>
        <w:t>luxo metodológico completo do sistema de detecção de depressão em mídias sociais, demonstrando visualmente as etapas sequenciais desde a coleta de dados até a obtenção do modelo final. O diagrama ilustra a arquitetura do pipeline de processamento, destacando as três fases principais: pré-processamento, treinamento de modelos e avaliação.</w:t>
      </w:r>
    </w:p>
    <w:p w14:paraId="080D26B0" w14:textId="77777777" w:rsidR="00266023" w:rsidRPr="00266023" w:rsidRDefault="00266023" w:rsidP="00266023">
      <w:pPr>
        <w:spacing w:after="200" w:line="360" w:lineRule="auto"/>
        <w:ind w:firstLine="720"/>
        <w:jc w:val="both"/>
        <w:rPr>
          <w:lang w:val="pt-BR"/>
        </w:rPr>
      </w:pPr>
      <w:r w:rsidRPr="00266023">
        <w:rPr>
          <w:lang w:val="pt-BR"/>
        </w:rPr>
        <w:t xml:space="preserve">O processo inicia com o </w:t>
      </w:r>
      <w:proofErr w:type="spellStart"/>
      <w:r w:rsidRPr="00266023">
        <w:rPr>
          <w:lang w:val="pt-BR"/>
        </w:rPr>
        <w:t>dataset</w:t>
      </w:r>
      <w:proofErr w:type="spellEnd"/>
      <w:r w:rsidRPr="00266023">
        <w:rPr>
          <w:lang w:val="pt-BR"/>
        </w:rPr>
        <w:t xml:space="preserve"> contendo 10.314 tweets, apresentando uma distribuição desbalanceada com 77% de mensagens normais e 23% indicativas de depressão. Esta característica reflete a realidade dos dados em ambientes de redes sociais, onde manifestações de transtornos mentais representam uma minoria significativa do conteúdo total publicado.</w:t>
      </w:r>
    </w:p>
    <w:p w14:paraId="7B91E562" w14:textId="77777777" w:rsidR="00266023" w:rsidRPr="00266023" w:rsidRDefault="00266023" w:rsidP="00266023">
      <w:pPr>
        <w:spacing w:after="200" w:line="360" w:lineRule="auto"/>
        <w:ind w:firstLine="720"/>
        <w:jc w:val="both"/>
        <w:rPr>
          <w:lang w:val="pt-BR"/>
        </w:rPr>
      </w:pPr>
      <w:r w:rsidRPr="00266023">
        <w:rPr>
          <w:lang w:val="pt-BR"/>
        </w:rPr>
        <w:lastRenderedPageBreak/>
        <w:t xml:space="preserve">Na etapa de pré-processamento, o fluxo demonstra três subprocessos críticos: (1) limpeza de dados, removendo URLs, menções e hashtags que introduzem ruído ao processamento linguístico; (2) aplicação de técnicas de Processamento de Linguagem Natural (NLP), incluindo tokenização, remoção de </w:t>
      </w:r>
      <w:proofErr w:type="spellStart"/>
      <w:r w:rsidRPr="00266023">
        <w:rPr>
          <w:lang w:val="pt-BR"/>
        </w:rPr>
        <w:t>stopwords</w:t>
      </w:r>
      <w:proofErr w:type="spellEnd"/>
      <w:r w:rsidRPr="00266023">
        <w:rPr>
          <w:lang w:val="pt-BR"/>
        </w:rPr>
        <w:t xml:space="preserve"> e lematização para normalização textual; e (3) vetorização TF-IDF com 5.000 features e extração de bigramas, transformando texto em representações numéricas adequadas para algoritmos de aprendizado de máquina.</w:t>
      </w:r>
    </w:p>
    <w:p w14:paraId="2719CA54" w14:textId="77777777" w:rsidR="00266023" w:rsidRPr="00266023" w:rsidRDefault="00266023" w:rsidP="00266023">
      <w:pPr>
        <w:spacing w:after="200" w:line="360" w:lineRule="auto"/>
        <w:ind w:firstLine="720"/>
        <w:jc w:val="both"/>
        <w:rPr>
          <w:lang w:val="pt-BR"/>
        </w:rPr>
      </w:pPr>
      <w:r w:rsidRPr="00266023">
        <w:rPr>
          <w:lang w:val="pt-BR"/>
        </w:rPr>
        <w:t xml:space="preserve">O diagrama evidencia a fase de treinamento paralelo de cinco algoritmos distintos: </w:t>
      </w:r>
      <w:proofErr w:type="spellStart"/>
      <w:r w:rsidRPr="00266023">
        <w:rPr>
          <w:lang w:val="pt-BR"/>
        </w:rPr>
        <w:t>Logistic</w:t>
      </w:r>
      <w:proofErr w:type="spellEnd"/>
      <w:r w:rsidRPr="00266023">
        <w:rPr>
          <w:lang w:val="pt-BR"/>
        </w:rPr>
        <w:t xml:space="preserve"> </w:t>
      </w:r>
      <w:proofErr w:type="spellStart"/>
      <w:r w:rsidRPr="00266023">
        <w:rPr>
          <w:lang w:val="pt-BR"/>
        </w:rPr>
        <w:t>Regression</w:t>
      </w:r>
      <w:proofErr w:type="spellEnd"/>
      <w:r w:rsidRPr="00266023">
        <w:rPr>
          <w:lang w:val="pt-BR"/>
        </w:rPr>
        <w:t xml:space="preserve"> (99.12%), </w:t>
      </w:r>
      <w:proofErr w:type="spellStart"/>
      <w:r w:rsidRPr="00266023">
        <w:rPr>
          <w:lang w:val="pt-BR"/>
        </w:rPr>
        <w:t>Naive</w:t>
      </w:r>
      <w:proofErr w:type="spellEnd"/>
      <w:r w:rsidRPr="00266023">
        <w:rPr>
          <w:lang w:val="pt-BR"/>
        </w:rPr>
        <w:t xml:space="preserve"> </w:t>
      </w:r>
      <w:proofErr w:type="spellStart"/>
      <w:r w:rsidRPr="00266023">
        <w:rPr>
          <w:lang w:val="pt-BR"/>
        </w:rPr>
        <w:t>Bayes</w:t>
      </w:r>
      <w:proofErr w:type="spellEnd"/>
      <w:r w:rsidRPr="00266023">
        <w:rPr>
          <w:lang w:val="pt-BR"/>
        </w:rPr>
        <w:t xml:space="preserve"> (96.20%), Random Forest (99.27%), </w:t>
      </w:r>
      <w:proofErr w:type="spellStart"/>
      <w:r w:rsidRPr="00266023">
        <w:rPr>
          <w:lang w:val="pt-BR"/>
        </w:rPr>
        <w:t>Gradient</w:t>
      </w:r>
      <w:proofErr w:type="spellEnd"/>
      <w:r w:rsidRPr="00266023">
        <w:rPr>
          <w:lang w:val="pt-BR"/>
        </w:rPr>
        <w:t xml:space="preserve"> </w:t>
      </w:r>
      <w:proofErr w:type="spellStart"/>
      <w:r w:rsidRPr="00266023">
        <w:rPr>
          <w:lang w:val="pt-BR"/>
        </w:rPr>
        <w:t>Boosting</w:t>
      </w:r>
      <w:proofErr w:type="spellEnd"/>
      <w:r w:rsidRPr="00266023">
        <w:rPr>
          <w:lang w:val="pt-BR"/>
        </w:rPr>
        <w:t xml:space="preserve"> (99.22%) e SVM (99.42%). Esta abordagem comparativa permite identificar qual algoritmo melhor captura os padrões linguísticos associados à depressão, considerando as características específicas do </w:t>
      </w:r>
      <w:proofErr w:type="spellStart"/>
      <w:r w:rsidRPr="00266023">
        <w:rPr>
          <w:lang w:val="pt-BR"/>
        </w:rPr>
        <w:t>dataset</w:t>
      </w:r>
      <w:proofErr w:type="spellEnd"/>
      <w:r w:rsidRPr="00266023">
        <w:rPr>
          <w:lang w:val="pt-BR"/>
        </w:rPr>
        <w:t xml:space="preserve"> de tweets em português brasileiro.</w:t>
      </w:r>
    </w:p>
    <w:p w14:paraId="2373B762" w14:textId="77777777" w:rsidR="00266023" w:rsidRPr="00266023" w:rsidRDefault="00266023" w:rsidP="00266023">
      <w:pPr>
        <w:spacing w:after="200" w:line="360" w:lineRule="auto"/>
        <w:ind w:firstLine="720"/>
        <w:jc w:val="both"/>
        <w:rPr>
          <w:lang w:val="pt-BR"/>
        </w:rPr>
      </w:pPr>
      <w:r w:rsidRPr="00266023">
        <w:rPr>
          <w:lang w:val="pt-BR"/>
        </w:rPr>
        <w:t>A etapa de avaliação, conforme ilustrado no fluxo, compreende dois níveis de validação: (1) cálculo de métricas quantitativas (</w:t>
      </w:r>
      <w:proofErr w:type="spellStart"/>
      <w:r w:rsidRPr="00266023">
        <w:rPr>
          <w:lang w:val="pt-BR"/>
        </w:rPr>
        <w:t>Accuracy</w:t>
      </w:r>
      <w:proofErr w:type="spellEnd"/>
      <w:r w:rsidRPr="00266023">
        <w:rPr>
          <w:lang w:val="pt-BR"/>
        </w:rPr>
        <w:t xml:space="preserve">, </w:t>
      </w:r>
      <w:proofErr w:type="spellStart"/>
      <w:r w:rsidRPr="00266023">
        <w:rPr>
          <w:lang w:val="pt-BR"/>
        </w:rPr>
        <w:t>Precision</w:t>
      </w:r>
      <w:proofErr w:type="spellEnd"/>
      <w:r w:rsidRPr="00266023">
        <w:rPr>
          <w:lang w:val="pt-BR"/>
        </w:rPr>
        <w:t xml:space="preserve">, Recall e F1-Score) para mensuração objetiva do desempenho; e (2) análise visual através de matriz de confusão, curvas ROC e </w:t>
      </w:r>
      <w:proofErr w:type="spellStart"/>
      <w:r w:rsidRPr="00266023">
        <w:rPr>
          <w:lang w:val="pt-BR"/>
        </w:rPr>
        <w:t>Precision</w:t>
      </w:r>
      <w:proofErr w:type="spellEnd"/>
      <w:r w:rsidRPr="00266023">
        <w:rPr>
          <w:lang w:val="pt-BR"/>
        </w:rPr>
        <w:t>-Recall, permitindo compreensão detalhada do comportamento de cada modelo em diferentes limiares de decisão. Esta avaliação multifacetada é essencial em contextos clínicos, onde tanto falsos positivos quanto falsos negativos têm implicações significativas.</w:t>
      </w:r>
    </w:p>
    <w:p w14:paraId="294EED4A" w14:textId="77777777" w:rsidR="00266023" w:rsidRPr="00266023" w:rsidRDefault="00266023" w:rsidP="00266023">
      <w:pPr>
        <w:spacing w:after="200" w:line="360" w:lineRule="auto"/>
        <w:ind w:firstLine="720"/>
        <w:jc w:val="both"/>
        <w:rPr>
          <w:lang w:val="pt-BR"/>
        </w:rPr>
      </w:pPr>
      <w:r w:rsidRPr="00266023">
        <w:rPr>
          <w:lang w:val="pt-BR"/>
        </w:rPr>
        <w:t xml:space="preserve">O fluxo culmina na identificação do SVM como modelo vencedor, alcançando 99.42% de acurácia e 98.63% de F1-Score. Este resultado, destacado visualmente no diagrama, representa o equilíbrio ideal entre precisão e </w:t>
      </w:r>
      <w:proofErr w:type="spellStart"/>
      <w:r w:rsidRPr="00266023">
        <w:rPr>
          <w:lang w:val="pt-BR"/>
        </w:rPr>
        <w:t>revocação</w:t>
      </w:r>
      <w:proofErr w:type="spellEnd"/>
      <w:r w:rsidRPr="00266023">
        <w:rPr>
          <w:lang w:val="pt-BR"/>
        </w:rPr>
        <w:t>, demonstrando a capacidade do SVM de estabelecer hiperplanos ótimos para separação entre classes em espaços de alta dimensionalidade característicos de dados textuais. A superioridade do SVM confirma sua eficácia em tarefas de classificação binária com vocabulário extenso e características esparsas típicas de representações TF-IDF.</w:t>
      </w:r>
    </w:p>
    <w:p w14:paraId="0577A663" w14:textId="49930D97" w:rsidR="00266023" w:rsidRPr="00266023" w:rsidRDefault="00266023" w:rsidP="00266023">
      <w:pPr>
        <w:jc w:val="center"/>
        <w:rPr>
          <w:lang w:val="pt-BR"/>
        </w:rPr>
      </w:pPr>
      <w:r w:rsidRPr="00266023">
        <w:rPr>
          <w:rFonts w:ascii="Calibri" w:hAnsi="Calibri"/>
          <w:i/>
          <w:color w:val="808080"/>
          <w:sz w:val="22"/>
          <w:lang w:val="pt-BR"/>
        </w:rPr>
        <w:br/>
      </w:r>
    </w:p>
    <w:p w14:paraId="40ED7F97" w14:textId="77777777" w:rsidR="00266023" w:rsidRDefault="00266023">
      <w:pPr>
        <w:rPr>
          <w:b/>
          <w:bCs/>
          <w:lang w:val="pt-BR"/>
        </w:rPr>
      </w:pPr>
      <w:r>
        <w:rPr>
          <w:lang w:val="pt-BR"/>
        </w:rPr>
        <w:br w:type="page"/>
      </w:r>
    </w:p>
    <w:p w14:paraId="357D0D28" w14:textId="297D247C" w:rsidR="00062C35" w:rsidRPr="002C6705" w:rsidRDefault="00000000">
      <w:pPr>
        <w:pStyle w:val="Ttulo1"/>
        <w:rPr>
          <w:lang w:val="pt-BR"/>
        </w:rPr>
      </w:pPr>
      <w:r w:rsidRPr="002C6705">
        <w:rPr>
          <w:lang w:val="pt-BR"/>
        </w:rPr>
        <w:lastRenderedPageBreak/>
        <w:t>5. CONCLUSÃO</w:t>
      </w:r>
    </w:p>
    <w:p w14:paraId="196E755A" w14:textId="77777777" w:rsidR="00062C35" w:rsidRPr="002C6705" w:rsidRDefault="00000000">
      <w:pPr>
        <w:spacing w:after="200" w:line="360" w:lineRule="auto"/>
        <w:ind w:firstLine="720"/>
        <w:jc w:val="both"/>
        <w:rPr>
          <w:lang w:val="pt-BR"/>
        </w:rPr>
      </w:pPr>
      <w:r w:rsidRPr="002C6705">
        <w:rPr>
          <w:lang w:val="pt-BR"/>
        </w:rPr>
        <w:t>Este trabalho demonstrou a viabilidade de utilizar técnicas de Machine Learning e Processamento de Linguagem Natural para identificação de indicativos de depressão em publicações de redes sociais. A comparação de cinco algoritmos de classificação revelou que modelos tradicionais, particularmente SVM e Random Forest, apresentam desempenho excepcional quando aplicados a conjuntos de dados de escala moderada.</w:t>
      </w:r>
    </w:p>
    <w:p w14:paraId="3D98AB8D" w14:textId="77777777" w:rsidR="00062C35" w:rsidRPr="002C6705" w:rsidRDefault="00000000">
      <w:pPr>
        <w:spacing w:after="200" w:line="360" w:lineRule="auto"/>
        <w:ind w:firstLine="720"/>
        <w:jc w:val="both"/>
        <w:rPr>
          <w:lang w:val="pt-BR"/>
        </w:rPr>
      </w:pPr>
      <w:r w:rsidRPr="002C6705">
        <w:rPr>
          <w:lang w:val="pt-BR"/>
        </w:rPr>
        <w:t>O SVM com kernel linear foi identificado como o melhor modelo, alcançando 99,42% de acurácia, 98,69% de F1-Score e AUC-ROC de 0,9957. A análise das características mais relevantes confirmou achados da literatura sobre marcadores linguísticos de depressão, incluindo aumento de afeto negativo, referências a ansiedade e saúde mental, e expressões de busca por ajuda.</w:t>
      </w:r>
    </w:p>
    <w:p w14:paraId="24FA205C" w14:textId="77777777" w:rsidR="00062C35" w:rsidRPr="002C6705" w:rsidRDefault="00000000">
      <w:pPr>
        <w:spacing w:after="200" w:line="360" w:lineRule="auto"/>
        <w:ind w:firstLine="720"/>
        <w:jc w:val="both"/>
        <w:rPr>
          <w:lang w:val="pt-BR"/>
        </w:rPr>
      </w:pPr>
      <w:r w:rsidRPr="002C6705">
        <w:rPr>
          <w:lang w:val="pt-BR"/>
        </w:rPr>
        <w:t>A eficiência computacional dos modelos tradicionais representa uma vantagem significativa para aplicações práticas, permitindo processamento em tempo real e implantação em ambientes com recursos limitados. Esta característica é especialmente relevante para sistemas de monitoramento de larga escala.</w:t>
      </w:r>
    </w:p>
    <w:p w14:paraId="2AB81E9F" w14:textId="77777777" w:rsidR="00062C35" w:rsidRPr="002C6705" w:rsidRDefault="00000000">
      <w:pPr>
        <w:spacing w:after="360" w:line="360" w:lineRule="auto"/>
        <w:ind w:firstLine="720"/>
        <w:jc w:val="both"/>
        <w:rPr>
          <w:lang w:val="pt-BR"/>
        </w:rPr>
      </w:pPr>
      <w:r w:rsidRPr="002C6705">
        <w:rPr>
          <w:lang w:val="pt-BR"/>
        </w:rPr>
        <w:t>Como trabalhos futuros, sugerimos a expansão do conjunto de dados para incluir textos em português brasileiro, a incorporação de análises multimodais, e a integração com sistemas de apoio psicológico. Em síntese, este estudo contribui para o campo da saúde mental digital ao demonstrar que soluções de Machine Learning eficientes e acessíveis podem auxiliar na detecção precoce de indicadores de depressão.</w:t>
      </w:r>
    </w:p>
    <w:p w14:paraId="747B9240" w14:textId="77777777" w:rsidR="002C6705" w:rsidRDefault="002C6705">
      <w:pPr>
        <w:rPr>
          <w:b/>
          <w:bCs/>
          <w:lang w:val="pt-BR"/>
        </w:rPr>
      </w:pPr>
      <w:r>
        <w:rPr>
          <w:lang w:val="pt-BR"/>
        </w:rPr>
        <w:br w:type="page"/>
      </w:r>
    </w:p>
    <w:p w14:paraId="43A68EF2" w14:textId="77777777" w:rsidR="00062C35" w:rsidRPr="002C6705" w:rsidRDefault="00000000">
      <w:pPr>
        <w:pStyle w:val="Ttulo1"/>
        <w:rPr>
          <w:lang w:val="pt-BR"/>
        </w:rPr>
      </w:pPr>
      <w:r w:rsidRPr="002C6705">
        <w:rPr>
          <w:lang w:val="pt-BR"/>
        </w:rPr>
        <w:lastRenderedPageBreak/>
        <w:t>REFERÊNCIAS BIBLIOGRÁFICAS</w:t>
      </w:r>
    </w:p>
    <w:p w14:paraId="67C6B0C1" w14:textId="77777777" w:rsidR="00062C35" w:rsidRDefault="00000000">
      <w:pPr>
        <w:spacing w:after="200"/>
        <w:jc w:val="both"/>
      </w:pPr>
      <w:r w:rsidRPr="002C6705">
        <w:rPr>
          <w:lang w:val="pt-BR"/>
        </w:rPr>
        <w:t xml:space="preserve">BREIMAN, L. Random </w:t>
      </w:r>
      <w:proofErr w:type="spellStart"/>
      <w:r w:rsidRPr="002C6705">
        <w:rPr>
          <w:lang w:val="pt-BR"/>
        </w:rPr>
        <w:t>Forests</w:t>
      </w:r>
      <w:proofErr w:type="spellEnd"/>
      <w:r w:rsidRPr="002C6705">
        <w:rPr>
          <w:lang w:val="pt-BR"/>
        </w:rPr>
        <w:t xml:space="preserve">. </w:t>
      </w:r>
      <w:r>
        <w:t>Machine Learning, v. 45, n. 1, p. 5-32, 2001.</w:t>
      </w:r>
    </w:p>
    <w:p w14:paraId="4C77C9F5" w14:textId="77777777" w:rsidR="00062C35" w:rsidRDefault="00000000">
      <w:pPr>
        <w:spacing w:after="200"/>
        <w:jc w:val="both"/>
      </w:pPr>
      <w:r>
        <w:t xml:space="preserve">CHEN, T.; GUESTRIN, C. </w:t>
      </w:r>
      <w:proofErr w:type="spellStart"/>
      <w:r>
        <w:t>XGBoost</w:t>
      </w:r>
      <w:proofErr w:type="spellEnd"/>
      <w:r>
        <w:t>: A Scalable Tree Boosting System. In: PROCEEDINGS OF THE 22ND ACM SIGKDD, 2016. p. 785-794.</w:t>
      </w:r>
    </w:p>
    <w:p w14:paraId="2A8BA0C9" w14:textId="77777777" w:rsidR="00062C35" w:rsidRDefault="00000000">
      <w:pPr>
        <w:spacing w:after="200"/>
        <w:jc w:val="both"/>
      </w:pPr>
      <w:r>
        <w:t>CORTES, C.; VAPNIK, V. Support-Vector Networks. Machine Learning, v. 20, n. 3, p. 273-297, 1995.</w:t>
      </w:r>
    </w:p>
    <w:p w14:paraId="49A3FE42" w14:textId="77777777" w:rsidR="00062C35" w:rsidRDefault="00000000">
      <w:pPr>
        <w:spacing w:after="200"/>
        <w:jc w:val="both"/>
      </w:pPr>
      <w:r>
        <w:t xml:space="preserve">DE CHOUDHURY, M. et al. Predicting Depression via </w:t>
      </w:r>
      <w:proofErr w:type="gramStart"/>
      <w:r>
        <w:t>Social Media</w:t>
      </w:r>
      <w:proofErr w:type="gramEnd"/>
      <w:r>
        <w:t>. In: ICWSM, 2013.</w:t>
      </w:r>
    </w:p>
    <w:p w14:paraId="335E0F81" w14:textId="77777777" w:rsidR="00062C35" w:rsidRDefault="00000000">
      <w:pPr>
        <w:spacing w:after="200"/>
        <w:jc w:val="both"/>
      </w:pPr>
      <w:r>
        <w:t>HOSMER, D. W.; LEMESHOW, S. Applied Logistic Regression. 2. ed. New York: Wiley, 2000.</w:t>
      </w:r>
    </w:p>
    <w:p w14:paraId="3A85A66C" w14:textId="77777777" w:rsidR="00062C35" w:rsidRDefault="00000000">
      <w:pPr>
        <w:spacing w:after="200"/>
        <w:jc w:val="both"/>
      </w:pPr>
      <w:r>
        <w:t xml:space="preserve">LIU, Y. et al. </w:t>
      </w:r>
      <w:proofErr w:type="spellStart"/>
      <w:r>
        <w:t>RoBERTa</w:t>
      </w:r>
      <w:proofErr w:type="spellEnd"/>
      <w:r>
        <w:t>: A Robustly Optimized BERT Pretraining Approach. arXiv:1907.11692, 2019.</w:t>
      </w:r>
    </w:p>
    <w:p w14:paraId="344E5FEA" w14:textId="77777777" w:rsidR="00062C35" w:rsidRPr="002C6705" w:rsidRDefault="00000000">
      <w:pPr>
        <w:spacing w:after="200"/>
        <w:jc w:val="both"/>
        <w:rPr>
          <w:lang w:val="pt-BR"/>
        </w:rPr>
      </w:pPr>
      <w:r>
        <w:t xml:space="preserve">MURPHY, K. P. Machine Learning: A Probabilistic Perspective. </w:t>
      </w:r>
      <w:r w:rsidRPr="002C6705">
        <w:rPr>
          <w:lang w:val="pt-BR"/>
        </w:rPr>
        <w:t>Cambridge: MIT Press, 2012.</w:t>
      </w:r>
    </w:p>
    <w:p w14:paraId="3DC27650" w14:textId="77777777" w:rsidR="00062C35" w:rsidRDefault="00000000">
      <w:pPr>
        <w:spacing w:after="200"/>
        <w:jc w:val="both"/>
      </w:pPr>
      <w:r w:rsidRPr="002C6705">
        <w:rPr>
          <w:lang w:val="pt-BR"/>
        </w:rPr>
        <w:t xml:space="preserve">ORGANIZAÇÃO MUNDIAL DA SAÚDE. </w:t>
      </w:r>
      <w:r>
        <w:t>Depression and Other Common Mental Disorders: Global Health Estimates. Geneva: WHO, 2017.</w:t>
      </w:r>
    </w:p>
    <w:p w14:paraId="6841C0E3" w14:textId="77777777" w:rsidR="00062C35" w:rsidRPr="00266023" w:rsidRDefault="00000000">
      <w:pPr>
        <w:spacing w:after="200"/>
        <w:jc w:val="both"/>
        <w:rPr>
          <w:lang w:val="pt-BR"/>
        </w:rPr>
      </w:pPr>
      <w:r>
        <w:t xml:space="preserve">PEDREGOSA, F. et al. Scikit-learn: Machine Learning in Python. </w:t>
      </w:r>
      <w:r w:rsidRPr="00266023">
        <w:rPr>
          <w:lang w:val="pt-BR"/>
        </w:rPr>
        <w:t>JMLR 12, pp. 2825-2830, 2011.</w:t>
      </w:r>
    </w:p>
    <w:sectPr w:rsidR="00062C35" w:rsidRPr="00266023">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609F8" w14:textId="77777777" w:rsidR="00A45EAB" w:rsidRDefault="00A45EAB">
      <w:r>
        <w:separator/>
      </w:r>
    </w:p>
  </w:endnote>
  <w:endnote w:type="continuationSeparator" w:id="0">
    <w:p w14:paraId="40579CDC" w14:textId="77777777" w:rsidR="00A45EAB" w:rsidRDefault="00A45E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CF50B" w14:textId="77777777" w:rsidR="00062C35" w:rsidRDefault="00000000">
    <w:pPr>
      <w:jc w:val="center"/>
    </w:pPr>
    <w:r>
      <w:rPr>
        <w:sz w:val="20"/>
        <w:szCs w:val="20"/>
      </w:rPr>
      <w:t xml:space="preserve">Página </w:t>
    </w:r>
    <w:r>
      <w:rPr>
        <w:sz w:val="20"/>
        <w:szCs w:val="20"/>
      </w:rPr>
      <w:fldChar w:fldCharType="begin"/>
    </w:r>
    <w:r>
      <w:rPr>
        <w:sz w:val="20"/>
        <w:szCs w:val="20"/>
      </w:rPr>
      <w:instrText>PAGE</w:instrText>
    </w:r>
    <w:r>
      <w:rPr>
        <w:sz w:val="20"/>
        <w:szCs w:val="20"/>
      </w:rPr>
      <w:fldChar w:fldCharType="separate"/>
    </w:r>
    <w:r w:rsidR="002C6705">
      <w:rPr>
        <w:noProof/>
        <w:sz w:val="20"/>
        <w:szCs w:val="20"/>
      </w:rPr>
      <w:t>1</w:t>
    </w:r>
    <w:r>
      <w:rPr>
        <w:sz w:val="20"/>
        <w:szCs w:val="20"/>
      </w:rPr>
      <w:fldChar w:fldCharType="end"/>
    </w:r>
    <w:r>
      <w:rPr>
        <w:sz w:val="20"/>
        <w:szCs w:val="20"/>
      </w:rPr>
      <w:t xml:space="preserve"> de </w:t>
    </w:r>
    <w:r>
      <w:rPr>
        <w:sz w:val="20"/>
        <w:szCs w:val="20"/>
      </w:rPr>
      <w:fldChar w:fldCharType="begin"/>
    </w:r>
    <w:r>
      <w:rPr>
        <w:sz w:val="20"/>
        <w:szCs w:val="20"/>
      </w:rPr>
      <w:instrText>NUMPAGES</w:instrText>
    </w:r>
    <w:r>
      <w:rPr>
        <w:sz w:val="20"/>
        <w:szCs w:val="20"/>
      </w:rPr>
      <w:fldChar w:fldCharType="separate"/>
    </w:r>
    <w:r w:rsidR="002C6705">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3599B" w14:textId="77777777" w:rsidR="00A45EAB" w:rsidRDefault="00A45EAB">
      <w:r>
        <w:separator/>
      </w:r>
    </w:p>
  </w:footnote>
  <w:footnote w:type="continuationSeparator" w:id="0">
    <w:p w14:paraId="36F46F59" w14:textId="77777777" w:rsidR="00A45EAB" w:rsidRDefault="00A45E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72129" w14:textId="77777777" w:rsidR="00062C35" w:rsidRPr="002C6705" w:rsidRDefault="00000000">
    <w:pPr>
      <w:jc w:val="right"/>
      <w:rPr>
        <w:lang w:val="pt-BR"/>
      </w:rPr>
    </w:pPr>
    <w:r w:rsidRPr="002C6705">
      <w:rPr>
        <w:i/>
        <w:iCs/>
        <w:sz w:val="20"/>
        <w:szCs w:val="20"/>
        <w:lang w:val="pt-BR"/>
      </w:rPr>
      <w:t>Detecção de Depressão em Redes Sociais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976A3"/>
    <w:multiLevelType w:val="hybridMultilevel"/>
    <w:tmpl w:val="FFF618E4"/>
    <w:lvl w:ilvl="0" w:tplc="6C50DA70">
      <w:start w:val="1"/>
      <w:numFmt w:val="bullet"/>
      <w:lvlText w:val="●"/>
      <w:lvlJc w:val="left"/>
      <w:pPr>
        <w:ind w:left="720" w:hanging="360"/>
      </w:pPr>
    </w:lvl>
    <w:lvl w:ilvl="1" w:tplc="75F4AAB8">
      <w:start w:val="1"/>
      <w:numFmt w:val="bullet"/>
      <w:lvlText w:val="○"/>
      <w:lvlJc w:val="left"/>
      <w:pPr>
        <w:ind w:left="1440" w:hanging="360"/>
      </w:pPr>
    </w:lvl>
    <w:lvl w:ilvl="2" w:tplc="E32A6AF0">
      <w:start w:val="1"/>
      <w:numFmt w:val="bullet"/>
      <w:lvlText w:val="■"/>
      <w:lvlJc w:val="left"/>
      <w:pPr>
        <w:ind w:left="2160" w:hanging="360"/>
      </w:pPr>
    </w:lvl>
    <w:lvl w:ilvl="3" w:tplc="0CFA2092">
      <w:start w:val="1"/>
      <w:numFmt w:val="bullet"/>
      <w:lvlText w:val="●"/>
      <w:lvlJc w:val="left"/>
      <w:pPr>
        <w:ind w:left="2880" w:hanging="360"/>
      </w:pPr>
    </w:lvl>
    <w:lvl w:ilvl="4" w:tplc="EC74B05A">
      <w:start w:val="1"/>
      <w:numFmt w:val="bullet"/>
      <w:lvlText w:val="○"/>
      <w:lvlJc w:val="left"/>
      <w:pPr>
        <w:ind w:left="3600" w:hanging="360"/>
      </w:pPr>
    </w:lvl>
    <w:lvl w:ilvl="5" w:tplc="E3E6ADE8">
      <w:start w:val="1"/>
      <w:numFmt w:val="bullet"/>
      <w:lvlText w:val="■"/>
      <w:lvlJc w:val="left"/>
      <w:pPr>
        <w:ind w:left="4320" w:hanging="360"/>
      </w:pPr>
    </w:lvl>
    <w:lvl w:ilvl="6" w:tplc="113ED8AA">
      <w:start w:val="1"/>
      <w:numFmt w:val="bullet"/>
      <w:lvlText w:val="●"/>
      <w:lvlJc w:val="left"/>
      <w:pPr>
        <w:ind w:left="5040" w:hanging="360"/>
      </w:pPr>
    </w:lvl>
    <w:lvl w:ilvl="7" w:tplc="AB520080">
      <w:start w:val="1"/>
      <w:numFmt w:val="bullet"/>
      <w:lvlText w:val="●"/>
      <w:lvlJc w:val="left"/>
      <w:pPr>
        <w:ind w:left="5760" w:hanging="360"/>
      </w:pPr>
    </w:lvl>
    <w:lvl w:ilvl="8" w:tplc="7F00B3E4">
      <w:start w:val="1"/>
      <w:numFmt w:val="bullet"/>
      <w:lvlText w:val="●"/>
      <w:lvlJc w:val="left"/>
      <w:pPr>
        <w:ind w:left="6480" w:hanging="360"/>
      </w:pPr>
    </w:lvl>
  </w:abstractNum>
  <w:num w:numId="1" w16cid:durableId="9053414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C35"/>
    <w:rsid w:val="00062C35"/>
    <w:rsid w:val="00266023"/>
    <w:rsid w:val="002C6705"/>
    <w:rsid w:val="00A45EAB"/>
    <w:rsid w:val="00C464AC"/>
    <w:rsid w:val="00D44F02"/>
    <w:rsid w:val="00E5063B"/>
    <w:rsid w:val="00F821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46BBE"/>
  <w15:docId w15:val="{B4CC60A8-39FD-492E-A655-D7284957D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40"/>
      <w:outlineLvl w:val="0"/>
    </w:pPr>
    <w:rPr>
      <w:b/>
      <w:bCs/>
    </w:rPr>
  </w:style>
  <w:style w:type="paragraph" w:styleId="Ttulo2">
    <w:name w:val="heading 2"/>
    <w:uiPriority w:val="9"/>
    <w:unhideWhenUsed/>
    <w:qFormat/>
    <w:pPr>
      <w:spacing w:before="280" w:after="200"/>
      <w:outlineLvl w:val="1"/>
    </w:pPr>
    <w:rPr>
      <w:b/>
      <w:bCs/>
      <w:i/>
      <w:i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pPr>
      <w:spacing w:after="120"/>
      <w:jc w:val="center"/>
    </w:pPr>
    <w:rPr>
      <w:b/>
      <w:bCs/>
      <w:sz w:val="28"/>
      <w:szCs w:val="28"/>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2076</Words>
  <Characters>12979</Characters>
  <Application>Microsoft Office Word</Application>
  <DocSecurity>0</DocSecurity>
  <Lines>254</Lines>
  <Paragraphs>134</Paragraphs>
  <ScaleCrop>false</ScaleCrop>
  <Company/>
  <LinksUpToDate>false</LinksUpToDate>
  <CharactersWithSpaces>14921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Laercio Santos</cp:lastModifiedBy>
  <cp:revision>3</cp:revision>
  <dcterms:created xsi:type="dcterms:W3CDTF">2025-12-13T13:08:00Z</dcterms:created>
  <dcterms:modified xsi:type="dcterms:W3CDTF">2025-12-14T22:20:00Z</dcterms:modified>
</cp:coreProperties>
</file>