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21.71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</w:tbl>
    <w:p>
      <w:pPr>
        <w:pStyle w:val="Heading1"/>
      </w:pPr>
      <w:r>
        <w:t>test_invalid_login_1</w:t>
      </w:r>
    </w:p>
    <w:p>
      <w:pPr>
        <w:pStyle w:val="IntenseQuote"/>
      </w:pPr>
      <w:r>
        <w:t>Login_was_successfull_1568129780582.png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812978058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test_valid_login_1</w:t>
      </w:r>
    </w:p>
    <w:p>
      <w:pPr>
        <w:pStyle w:val="IntenseQuote"/>
      </w:pPr>
      <w:r>
        <w:t>Login_was_successfull_1568129790784.png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812979078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