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ФГБОУ ВО «Уфимский университет науки и технологий»</w:t>
      </w: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Кафедра технической кибернетики</w:t>
      </w:r>
    </w:p>
    <w:p>
      <w:pPr>
        <w:jc w:val="center"/>
        <w:spacing w:before="0" w:after="0" w:line="360" w:lineRule="auto"/>
        <w:ind w:firstLine="0"/>
      </w:pP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ОТЧЁТ ПО ПРАКТИЧЕСКОМУ ЗАНЯТИЮ №5</w:t>
      </w: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дисциплине «Интеллектуальные информационные системы»</w:t>
      </w: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Тема: Заполнение базы данных тестовыми данными</w:t>
      </w:r>
    </w:p>
    <w:p>
      <w:pPr>
        <w:jc w:val="center"/>
        <w:spacing w:before="0" w:after="0" w:line="360" w:lineRule="auto"/>
        <w:ind w:firstLine="0"/>
      </w:pPr>
    </w:p>
    <w:p>
      <w:pPr>
        <w:jc w:val="righ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Выполнил: ст. гр. ИВТ-432Б</w:t>
      </w:r>
    </w:p>
    <w:p>
      <w:pPr>
        <w:jc w:val="righ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Зиязетдинов Д.С.</w:t>
      </w:r>
    </w:p>
    <w:p>
      <w:pPr>
        <w:jc w:val="righ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Проверил: доцент кафедры</w:t>
      </w:r>
    </w:p>
    <w:p>
      <w:pPr>
        <w:jc w:val="center"/>
        <w:spacing w:before="0" w:after="0" w:line="360" w:lineRule="auto"/>
        <w:ind w:firstLine="0"/>
      </w:pP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Уфа 2026 г.</w:t>
      </w:r>
    </w:p>
    <w:p>
      <w:pPr>
        <w:jc w:val="both"/>
        <w:spacing w:before="0" w:after="0" w:line="360" w:lineRule="auto"/>
        <w:ind w:firstLine="0"/>
      </w:pPr>
      <w:r>
        <w:br w:type="page"/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1 Введение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Практическое занятие №5 посвящено заполнению спроектированной базы данных тестовыми данными для проверки базовых функций системы. Согласно заданию необходимо выбрать подход GAN, подготовить промпт, сформировать набор данных, оформить результаты и подготовить материалы к загрузке в СДО.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работе использован подход генерации табличных данных с контролем реалистичности распределений и проверкой ссылочной целостности, что позволяет моделировать поведение пользователей и товаров в условиях, близких к рабочим.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2 Цель работы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Сформировать тестовый датасет для БД маркетплейса на основе генеративного подхода и привести результат к форме, пригодной для автоматизированной загрузки и валидации.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3 Ход работы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1) Выбрана стратегия генерации табличных данных в стиле GAN для имитации пользовательских и системных событий.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2) Подготовлен промпт и параметры генерации: объёмы таблиц, диапазон дат за последние 90 дней, бизнес-ограничения и внешние ключи.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3) Сформированы CSV-файлы с заголовками в кодировке UTF-8 и подготовлен SQL-скрипт загрузки через COPY.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4) Выполнена встроенная валидация: контроль объёмов, уникальности PK, ссылочной целостности и распределений по событиям/модерации.</w:t>
      </w: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Схема процесса: выбор GAN -&gt; настройка промпта -&gt; генерация CSV -&gt; валидация -&gt; загрузка в PostgreSQL.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 – Схема процесса генерации тестовых данных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4 Результаты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Сформирован набор данных по ключевым таблицам интеллектуальной компоненты. Итоговый объём приведён в таблице.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1 – Объём сгенерированных данных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7000"/>
        <w:gridCol w:w="2500"/>
      </w:tblGrid>
      <w:tr>
        <w:tc>
          <w:tcPr>
            <w:tcW w:w="7000" w:type="dxa"/>
          </w:tcPr>
          <w:p>
            <w:pPr>
              <w:jc w:val="center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b/>
                <w:bCs/>
              </w:rPr>
              <w:t xml:space="preserve">Таблица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b/>
                <w:bCs/>
              </w:rPr>
              <w:t xml:space="preserve">Количество строк</w:t>
            </w:r>
          </w:p>
        </w:tc>
      </w:tr>
      <w:tr>
        <w:tc>
          <w:tcPr>
            <w:tcW w:w="70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ai_events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10430</w:t>
            </w:r>
          </w:p>
        </w:tc>
      </w:tr>
      <w:tr>
        <w:tc>
          <w:tcPr>
            <w:tcW w:w="70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rec_requests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1500</w:t>
            </w:r>
          </w:p>
        </w:tc>
      </w:tr>
      <w:tr>
        <w:tc>
          <w:tcPr>
            <w:tcW w:w="70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rec_results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15000</w:t>
            </w:r>
          </w:p>
        </w:tc>
      </w:tr>
      <w:tr>
        <w:tc>
          <w:tcPr>
            <w:tcW w:w="70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rec_feedback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5850</w:t>
            </w:r>
          </w:p>
        </w:tc>
      </w:tr>
      <w:tr>
        <w:tc>
          <w:tcPr>
            <w:tcW w:w="70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moderation_requests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420</w:t>
            </w:r>
          </w:p>
        </w:tc>
      </w:tr>
      <w:tr>
        <w:tc>
          <w:tcPr>
            <w:tcW w:w="70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moderation_decisions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420</w:t>
            </w:r>
          </w:p>
        </w:tc>
      </w:tr>
      <w:tr>
        <w:tc>
          <w:tcPr>
            <w:tcW w:w="70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user_features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600</w:t>
            </w:r>
          </w:p>
        </w:tc>
      </w:tr>
      <w:tr>
        <w:tc>
          <w:tcPr>
            <w:tcW w:w="70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item_features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1200</w:t>
            </w:r>
          </w:p>
        </w:tc>
      </w:tr>
      <w:tr>
        <w:tc>
          <w:tcPr>
            <w:tcW w:w="70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training_jobs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45</w:t>
            </w:r>
          </w:p>
        </w:tc>
      </w:tr>
      <w:tr>
        <w:tc>
          <w:tcPr>
            <w:tcW w:w="70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model_registry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14</w:t>
            </w:r>
          </w:p>
        </w:tc>
      </w:tr>
    </w:tbl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таблице rec_feedback доля кликов от показов составила 20.00 %, доля dislike — 3.00 %. Это соответствует требуемому диапазону качества отклика пользователей.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Распределение модерационных решений: publish — 80.00 %, manual_review — 15.00 %, reject — 5.00 %. Таким образом, данные отражают реалистичную долю публикаций и спорных кейсов.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События в ai_events имеют правдоподобную частоту: CatalogViewed = 3600, RecommendationShown = 1500, OrderPaid = 260; просмотры и показы встречаются чаще, чем оплаты заказов.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5 Вывод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рамках практического занятия №5 подготовлен полный набор тестовых данных для проектируемой БД, включая события, рекомендации, фидбек, модерацию и MLOps-контур. Полученные CSV-файлы и SQL-скрипт загрузки обеспечивают воспроизводимое наполнение базы и позволяют проводить функциональное тестирование создаваемых сервисов.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Дата формирования отчёта: 05.03.2026.</w:t>
      </w:r>
    </w:p>
    <w:sectPr>
      <w:footerReference w:type="default" r:id="rId1"/>
      <w:pgSz w:w="11906" w:h="16838"/>
      <w:pgMar w:top="1134" w:right="567" w:bottom="1134" w:left="1701" w:header="708" w:footer="708" w:gutter="0"/>
      <w:pgNumType w:start="1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hAnsi="Times New Roman" w:cs="Times New Roman"/>
        <w:color w:val="000000"/>
        <w:sz w:val="28"/>
        <w:szCs w:val="28"/>
      </w:rPr>
      <w:instrText xml:space="preserve"> PAGE </w:instrText>
    </w:r>
    <w:r>
      <w:rPr>
        <w:rFonts w:ascii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hAnsi="Times New Roman" w:cs="Times New Roman"/>
        <w:color w:val="000000"/>
        <w:sz w:val="28"/>
        <w:szCs w:val="28"/>
      </w:rPr>
      <w:t>1</w:t>
    </w:r>
    <w:r>
      <w:rPr>
        <w:rFonts w:ascii="Times New Roman" w:hAnsi="Times New Roman" w:cs="Times New Roman"/>
        <w:color w:val="000000"/>
        <w:sz w:val="28"/>
        <w:szCs w:val="28"/>
      </w:rPr>
      <w:fldChar w:fldCharType="end"/>
    </w:r>
  </w:p>
</w:ft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color w:val="000000"/>
        <w:sz w:val="28"/>
        <w:szCs w:val="28"/>
      </w:rPr>
    </w:rPrDefault>
    <w:pPrDefault>
      <w:pPr>
        <w:jc w:val="both"/>
        <w:spacing w:before="0" w:after="0" w:line="360" w:lineRule="auto"/>
        <w:ind w:firstLine="71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практическому занятию №5</dc:title>
  <dc:creator>Студент</dc:creator>
  <cp:lastModifiedBy>Codex</cp:lastModifiedBy>
  <dcterms:created xsi:type="dcterms:W3CDTF">2026-03-05T09:58:15+00:00</dcterms:created>
  <dcterms:modified xsi:type="dcterms:W3CDTF">2026-03-05T09:58:15+00:00</dcterms:modified>
</cp:coreProperties>
</file>