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C4714A"/>
          <w:sz w:val="36"/>
        </w:rPr>
        <w:t>Parlons</w:t>
      </w:r>
    </w:p>
    <w:p>
      <w:pPr>
        <w:spacing w:after="200"/>
      </w:pPr>
      <w:r>
        <w:rPr>
          <w:color w:val="B09070"/>
          <w:sz w:val="16"/>
        </w:rPr>
        <w:t>Contrat de Prestation de Services · Version 1.0 · Juin 2026</w:t>
      </w:r>
    </w:p>
    <w:p>
      <w:pPr>
        <w:spacing w:after="80"/>
        <w:jc w:val="center"/>
      </w:pPr>
      <w:r>
        <w:rPr>
          <w:b/>
          <w:color w:val="2C1F14"/>
          <w:sz w:val="28"/>
        </w:rPr>
        <w:t>CONTRAT DE PRESTATION DE SERVICES</w:t>
      </w:r>
    </w:p>
    <w:p>
      <w:pPr>
        <w:spacing w:after="320"/>
        <w:jc w:val="center"/>
      </w:pPr>
      <w:r>
        <w:rPr>
          <w:color w:val="B09070"/>
          <w:sz w:val="18"/>
        </w:rPr>
        <w:t>Entre Parlons et l'Écoutant Prestataire</w:t>
      </w:r>
    </w:p>
    <w:p>
      <w:pPr>
        <w:jc w:val="left"/>
      </w:pPr>
      <w:r>
        <w:rPr>
          <w:b/>
          <w:color w:val="C4714A"/>
          <w:sz w:val="24"/>
        </w:rPr>
        <w:t>Article 1 — Parties</w:t>
      </w:r>
    </w:p>
    <w:tbl>
      <w:tblPr>
        <w:tblStyle w:val="TableGrid"/>
        <w:tblW w:type="auto" w:w="0"/>
        <w:jc w:val="center"/>
        <w:tblLook w:firstColumn="1" w:firstRow="1" w:lastColumn="0" w:lastRow="0" w:noHBand="0" w:noVBand="1" w:val="04A0"/>
      </w:tblPr>
      <w:tblGrid>
        <w:gridCol w:w="4419"/>
        <w:gridCol w:w="4419"/>
      </w:tblGrid>
      <w:tr>
        <w:tc>
          <w:tcPr>
            <w:tcW w:type="dxa" w:w="4419"/>
          </w:tcPr>
          <w:p>
            <w:r>
              <w:rPr>
                <w:b/>
                <w:color w:val="C4714A"/>
                <w:sz w:val="18"/>
              </w:rPr>
              <w:t>La Plateforme</w:t>
            </w:r>
          </w:p>
        </w:tc>
        <w:tc>
          <w:tcPr>
            <w:tcW w:type="dxa" w:w="4419"/>
          </w:tcPr>
          <w:p>
            <w:r>
              <w:rPr>
                <w:b/>
                <w:color w:val="C4714A"/>
                <w:sz w:val="18"/>
              </w:rPr>
              <w:t>Le Prestataire</w:t>
            </w:r>
          </w:p>
        </w:tc>
      </w:tr>
      <w:tr>
        <w:tc>
          <w:tcPr>
            <w:tcW w:type="dxa" w:w="4419"/>
          </w:tcPr>
          <w:p>
            <w:r>
              <w:rPr>
                <w:sz w:val="18"/>
              </w:rPr>
              <w:t>Marvin Lafeychine</w:t>
            </w:r>
          </w:p>
        </w:tc>
        <w:tc>
          <w:tcPr>
            <w:tcW w:type="dxa" w:w="4419"/>
          </w:tcPr>
          <w:p>
            <w:r>
              <w:rPr>
                <w:b/>
                <w:color w:val="C4714A"/>
                <w:sz w:val="18"/>
              </w:rPr>
              <w:t>[NOM PRÉNOM]</w:t>
            </w:r>
          </w:p>
        </w:tc>
      </w:tr>
      <w:tr>
        <w:tc>
          <w:tcPr>
            <w:tcW w:type="dxa" w:w="4419"/>
          </w:tcPr>
          <w:p>
            <w:r>
              <w:rPr>
                <w:sz w:val="18"/>
              </w:rPr>
              <w:t>Fondateur — Parlons</w:t>
            </w:r>
          </w:p>
        </w:tc>
        <w:tc>
          <w:tcPr>
            <w:tcW w:type="dxa" w:w="4419"/>
          </w:tcPr>
          <w:p>
            <w:r>
              <w:rPr>
                <w:sz w:val="18"/>
              </w:rPr>
              <w:t>Auto-entrepreneur</w:t>
            </w:r>
          </w:p>
        </w:tc>
      </w:tr>
      <w:tr>
        <w:tc>
          <w:tcPr>
            <w:tcW w:type="dxa" w:w="4419"/>
          </w:tcPr>
          <w:p>
            <w:r>
              <w:rPr>
                <w:sz w:val="18"/>
              </w:rPr>
              <w:t>112 Route Bois de Lion</w:t>
              <w:br/>
              <w:t>33240 Peujard, France</w:t>
            </w:r>
          </w:p>
        </w:tc>
        <w:tc>
          <w:tcPr>
            <w:tcW w:type="dxa" w:w="4419"/>
          </w:tcPr>
          <w:p>
            <w:r>
              <w:rPr>
                <w:b/>
                <w:color w:val="C4714A"/>
                <w:sz w:val="18"/>
              </w:rPr>
              <w:t>SIRET : [NUMÉRO SIRET]</w:t>
              <w:br/>
              <w:t>Code APE : 9609Z</w:t>
            </w:r>
          </w:p>
        </w:tc>
      </w:tr>
      <w:tr>
        <w:tc>
          <w:tcPr>
            <w:tcW w:type="dxa" w:w="4419"/>
          </w:tcPr>
          <w:p>
            <w:r>
              <w:rPr>
                <w:sz w:val="18"/>
              </w:rPr>
              <w:t>contact.parlons.ecoute@gmail.com</w:t>
            </w:r>
          </w:p>
        </w:tc>
        <w:tc>
          <w:tcPr>
            <w:tcW w:type="dxa" w:w="4419"/>
          </w:tcPr>
          <w:p>
            <w:r>
              <w:rPr>
                <w:b/>
                <w:color w:val="C4714A"/>
                <w:sz w:val="18"/>
              </w:rPr>
              <w:t>[ADRESSE COMPLÈTE]</w:t>
            </w:r>
          </w:p>
        </w:tc>
      </w:tr>
      <w:tr>
        <w:tc>
          <w:tcPr>
            <w:tcW w:type="dxa" w:w="4419"/>
          </w:tcPr>
          <w:p>
            <w:r>
              <w:rPr>
                <w:sz w:val="18"/>
              </w:rPr>
              <w:t>Ci-après dénommé « La Plateforme »</w:t>
            </w:r>
          </w:p>
        </w:tc>
        <w:tc>
          <w:tcPr>
            <w:tcW w:type="dxa" w:w="4419"/>
          </w:tcPr>
          <w:p>
            <w:r>
              <w:rPr>
                <w:sz w:val="18"/>
              </w:rPr>
              <w:t>Ci-après dénommé « l'Écoutant »</w:t>
            </w:r>
          </w:p>
        </w:tc>
      </w:tr>
      <w:tr>
        <w:tc>
          <w:tcPr>
            <w:tcW w:type="dxa" w:w="4419"/>
          </w:tcPr>
          <w:p/>
        </w:tc>
        <w:tc>
          <w:tcPr>
            <w:tcW w:type="dxa" w:w="4419"/>
          </w:tcPr>
          <w:p/>
        </w:tc>
      </w:tr>
    </w:tbl>
    <w:p/>
    <w:p>
      <w:pPr>
        <w:jc w:val="left"/>
      </w:pPr>
      <w:r>
        <w:rPr>
          <w:b/>
          <w:color w:val="C4714A"/>
          <w:sz w:val="24"/>
        </w:rPr>
        <w:t>Article 2 — Objet</w:t>
      </w:r>
    </w:p>
    <w:p>
      <w:pPr>
        <w:spacing w:after="120"/>
      </w:pPr>
      <w:r>
        <w:rPr>
          <w:sz w:val="20"/>
        </w:rPr>
        <w:t>Le présent contrat a pour objet de définir les conditions dans lesquelles l'Écoutant réalise des prestations d'écoute bienveillante conversationnelle pour le compte de Parlons, via la plateforme en ligne parlonsecoute.fr.</w:t>
      </w:r>
    </w:p>
    <w:p>
      <w:pPr>
        <w:spacing w:after="120"/>
      </w:pPr>
      <w:r>
        <w:rPr>
          <w:sz w:val="20"/>
        </w:rPr>
        <w:t>Ces prestations consistent à accueillir, accompagner et écouter les utilisateurs de la plateforme lors de sessions individuelles ou de groupe, sans jamais se présenter comme professionnel de santé.</w:t>
      </w:r>
    </w:p>
    <w:p>
      <w:pPr>
        <w:jc w:val="left"/>
      </w:pPr>
      <w:r>
        <w:rPr>
          <w:b/>
          <w:color w:val="C4714A"/>
          <w:sz w:val="24"/>
        </w:rPr>
        <w:t>Article 3 — Statut du Prestataire</w:t>
      </w:r>
    </w:p>
    <w:p>
      <w:pPr>
        <w:spacing w:after="120"/>
      </w:pPr>
      <w:r>
        <w:rPr>
          <w:sz w:val="20"/>
        </w:rPr>
        <w:t>L'Écoutant intervient en qualité de prestataire indépendant sous statut d'auto-entrepreneur. Il n'existe entre les parties aucun lien de subordination, aucun contrat de travail, ni aucune relation employeur-salarié.</w:t>
      </w:r>
    </w:p>
    <w:p>
      <w:pPr>
        <w:spacing w:after="120"/>
      </w:pPr>
      <w:r>
        <w:rPr>
          <w:sz w:val="20"/>
        </w:rPr>
        <w:t>L'Écoutant reste libre d'organiser son activité, ses horaires et ses conditions de travail. Il est seul responsable de ses obligations fiscales et sociales (déclarations URSSAF, TVA si applicable).</w:t>
      </w:r>
    </w:p>
    <w:p>
      <w:pPr>
        <w:jc w:val="left"/>
      </w:pPr>
      <w:r>
        <w:rPr>
          <w:b/>
          <w:color w:val="C4714A"/>
          <w:sz w:val="24"/>
        </w:rPr>
        <w:t>Article 4 — Durée</w:t>
      </w:r>
    </w:p>
    <w:p>
      <w:pPr>
        <w:spacing w:after="120"/>
      </w:pPr>
      <w:r>
        <w:rPr>
          <w:sz w:val="20"/>
        </w:rPr>
        <w:t>Le présent contrat est conclu pour une durée indéterminée à compter de sa signature. Il peut être résilié par l'une ou l'autre des parties conformément à l'Article 9.</w:t>
      </w:r>
    </w:p>
    <w:p>
      <w:pPr>
        <w:jc w:val="left"/>
      </w:pPr>
      <w:r>
        <w:rPr>
          <w:b/>
          <w:color w:val="C4714A"/>
          <w:sz w:val="24"/>
        </w:rPr>
        <w:t>Article 5 — Obligations de l'Écoutant</w:t>
      </w:r>
    </w:p>
    <w:p>
      <w:pPr>
        <w:spacing w:after="120"/>
      </w:pPr>
      <w:r>
        <w:rPr>
          <w:sz w:val="20"/>
        </w:rPr>
        <w:t>L'Écoutant s'engage à :</w:t>
      </w:r>
    </w:p>
    <w:p>
      <w:pPr>
        <w:pStyle w:val="ListBullet"/>
        <w:spacing w:after="60"/>
      </w:pPr>
      <w:r>
        <w:rPr>
          <w:sz w:val="20"/>
        </w:rPr>
        <w:t>Répondre aux sessions dans un délai de 2 minutes après attribution</w:t>
      </w:r>
    </w:p>
    <w:p>
      <w:pPr>
        <w:pStyle w:val="ListBullet"/>
        <w:spacing w:after="60"/>
      </w:pPr>
      <w:r>
        <w:rPr>
          <w:sz w:val="20"/>
        </w:rPr>
        <w:t>Adopter une posture bienveillante, non-jugeante et confidentielle</w:t>
      </w:r>
    </w:p>
    <w:p>
      <w:pPr>
        <w:pStyle w:val="ListBullet"/>
        <w:spacing w:after="60"/>
      </w:pPr>
      <w:r>
        <w:rPr>
          <w:sz w:val="20"/>
        </w:rPr>
        <w:t>Ne jamais se présenter comme professionnel de santé (médecin, psychologue, thérapeute)</w:t>
      </w:r>
    </w:p>
    <w:p>
      <w:pPr>
        <w:pStyle w:val="ListBullet"/>
        <w:spacing w:after="60"/>
      </w:pPr>
      <w:r>
        <w:rPr>
          <w:sz w:val="20"/>
        </w:rPr>
        <w:t>Orienter systématiquement vers le 3114 (prévention du suicide) en cas de risque vital</w:t>
      </w:r>
    </w:p>
    <w:p>
      <w:pPr>
        <w:pStyle w:val="ListBullet"/>
        <w:spacing w:after="60"/>
      </w:pPr>
      <w:r>
        <w:rPr>
          <w:sz w:val="20"/>
        </w:rPr>
        <w:t>Signaler immédiatement à Parlons toute situation de crise ou difficulté majeure</w:t>
      </w:r>
    </w:p>
    <w:p>
      <w:pPr>
        <w:pStyle w:val="ListBullet"/>
        <w:spacing w:after="60"/>
      </w:pPr>
      <w:r>
        <w:rPr>
          <w:sz w:val="20"/>
        </w:rPr>
        <w:t>Respecter le Protocole Interne Parlons en vigueur</w:t>
      </w:r>
    </w:p>
    <w:p>
      <w:pPr>
        <w:pStyle w:val="ListBullet"/>
        <w:spacing w:after="60"/>
      </w:pPr>
      <w:r>
        <w:rPr>
          <w:sz w:val="20"/>
        </w:rPr>
        <w:t>Maintenir la confidentialité absolue sur les échanges avec les utilisateurs</w:t>
      </w:r>
    </w:p>
    <w:p>
      <w:pPr>
        <w:pStyle w:val="ListBullet"/>
        <w:spacing w:after="60"/>
      </w:pPr>
      <w:r>
        <w:rPr>
          <w:sz w:val="20"/>
        </w:rPr>
        <w:t>Émettre une facture mensuelle avant le 5 de chaque mois</w:t>
      </w:r>
    </w:p>
    <w:p>
      <w:pPr>
        <w:jc w:val="left"/>
      </w:pPr>
      <w:r>
        <w:rPr>
          <w:b/>
          <w:color w:val="C4714A"/>
          <w:sz w:val="24"/>
        </w:rPr>
        <w:t>Article 6 — Obligations de Parlons</w:t>
      </w:r>
    </w:p>
    <w:p>
      <w:pPr>
        <w:spacing w:after="120"/>
      </w:pPr>
      <w:r>
        <w:rPr>
          <w:sz w:val="20"/>
        </w:rPr>
        <w:t>Parlons s'engage à :</w:t>
      </w:r>
    </w:p>
    <w:p>
      <w:pPr>
        <w:pStyle w:val="ListBullet"/>
        <w:spacing w:after="60"/>
      </w:pPr>
      <w:r>
        <w:rPr>
          <w:sz w:val="20"/>
        </w:rPr>
        <w:t>Mettre à disposition de l'Écoutant l'accès à la plateforme technique</w:t>
      </w:r>
    </w:p>
    <w:p>
      <w:pPr>
        <w:pStyle w:val="ListBullet"/>
        <w:spacing w:after="60"/>
      </w:pPr>
      <w:r>
        <w:rPr>
          <w:sz w:val="20"/>
        </w:rPr>
        <w:t>Régler les factures dans un délai de 10 jours ouvrés à réception</w:t>
      </w:r>
    </w:p>
    <w:p>
      <w:pPr>
        <w:pStyle w:val="ListBullet"/>
        <w:spacing w:after="60"/>
      </w:pPr>
      <w:r>
        <w:rPr>
          <w:sz w:val="20"/>
        </w:rPr>
        <w:t>Informer l'Écoutant de toute modification des tarifs avec un préavis de 30 jours</w:t>
      </w:r>
    </w:p>
    <w:p>
      <w:pPr>
        <w:pStyle w:val="ListBullet"/>
        <w:spacing w:after="60"/>
      </w:pPr>
      <w:r>
        <w:rPr>
          <w:sz w:val="20"/>
        </w:rPr>
        <w:t>Fournir un support en cas de difficulté technique ou de situation de crise</w:t>
      </w:r>
    </w:p>
    <w:p>
      <w:pPr>
        <w:jc w:val="left"/>
      </w:pPr>
      <w:r>
        <w:rPr>
          <w:b/>
          <w:color w:val="C4714A"/>
          <w:sz w:val="24"/>
        </w:rPr>
        <w:t>Article 7 — Rémunération</w:t>
      </w:r>
    </w:p>
    <w:p>
      <w:pPr>
        <w:spacing w:after="120"/>
      </w:pPr>
      <w:r>
        <w:rPr>
          <w:sz w:val="20"/>
        </w:rPr>
        <w:t>L'Écoutant est rémunéré selon le barème suivant :</w:t>
      </w:r>
    </w:p>
    <w:tbl>
      <w:tblPr>
        <w:tblStyle w:val="TableGrid"/>
        <w:tblW w:type="auto" w:w="0"/>
        <w:tblLook w:firstColumn="1" w:firstRow="1" w:lastColumn="0" w:lastRow="0" w:noHBand="0" w:noVBand="1" w:val="04A0"/>
      </w:tblPr>
      <w:tblGrid>
        <w:gridCol w:w="4419"/>
        <w:gridCol w:w="4419"/>
      </w:tblGrid>
      <w:tr>
        <w:tc>
          <w:tcPr>
            <w:tcW w:type="dxa" w:w="4419"/>
          </w:tcPr>
          <w:p>
            <w:r>
              <w:rPr>
                <w:b/>
                <w:sz w:val="18"/>
              </w:rPr>
              <w:t>Type de session</w:t>
            </w:r>
          </w:p>
        </w:tc>
        <w:tc>
          <w:tcPr>
            <w:tcW w:type="dxa" w:w="4419"/>
          </w:tcPr>
          <w:p>
            <w:r>
              <w:rPr>
                <w:b/>
                <w:sz w:val="18"/>
              </w:rPr>
              <w:t>Rémunération prestataire</w:t>
            </w:r>
          </w:p>
        </w:tc>
      </w:tr>
      <w:tr>
        <w:tc>
          <w:tcPr>
            <w:tcW w:type="dxa" w:w="4419"/>
          </w:tcPr>
          <w:p>
            <w:r>
              <w:rPr>
                <w:sz w:val="18"/>
              </w:rPr>
              <w:t>Session individuelle 10 minutes</w:t>
            </w:r>
          </w:p>
        </w:tc>
        <w:tc>
          <w:tcPr>
            <w:tcW w:type="dxa" w:w="4419"/>
          </w:tcPr>
          <w:p>
            <w:r>
              <w:rPr>
                <w:sz w:val="18"/>
              </w:rPr>
              <w:t>1,00 € HT</w:t>
            </w:r>
          </w:p>
        </w:tc>
      </w:tr>
      <w:tr>
        <w:tc>
          <w:tcPr>
            <w:tcW w:type="dxa" w:w="4419"/>
          </w:tcPr>
          <w:p>
            <w:r>
              <w:rPr>
                <w:sz w:val="18"/>
              </w:rPr>
              <w:t>Session individuelle 30 minutes</w:t>
            </w:r>
          </w:p>
        </w:tc>
        <w:tc>
          <w:tcPr>
            <w:tcW w:type="dxa" w:w="4419"/>
          </w:tcPr>
          <w:p>
            <w:r>
              <w:rPr>
                <w:sz w:val="18"/>
              </w:rPr>
              <w:t>3,50 € HT</w:t>
            </w:r>
          </w:p>
        </w:tc>
      </w:tr>
      <w:tr>
        <w:tc>
          <w:tcPr>
            <w:tcW w:type="dxa" w:w="4419"/>
          </w:tcPr>
          <w:p>
            <w:r>
              <w:rPr>
                <w:sz w:val="18"/>
              </w:rPr>
              <w:t>Session individuelle 1 heure</w:t>
            </w:r>
          </w:p>
        </w:tc>
        <w:tc>
          <w:tcPr>
            <w:tcW w:type="dxa" w:w="4419"/>
          </w:tcPr>
          <w:p>
            <w:r>
              <w:rPr>
                <w:sz w:val="18"/>
              </w:rPr>
              <w:t>7,50 € HT</w:t>
            </w:r>
          </w:p>
        </w:tc>
      </w:tr>
      <w:tr>
        <w:tc>
          <w:tcPr>
            <w:tcW w:type="dxa" w:w="4419"/>
          </w:tcPr>
          <w:p>
            <w:r>
              <w:rPr>
                <w:sz w:val="18"/>
              </w:rPr>
              <w:t>Pass mensuel illimité</w:t>
            </w:r>
          </w:p>
        </w:tc>
        <w:tc>
          <w:tcPr>
            <w:tcW w:type="dxa" w:w="4419"/>
          </w:tcPr>
          <w:p>
            <w:r>
              <w:rPr>
                <w:sz w:val="18"/>
              </w:rPr>
              <w:t>Part équitable entre agents actifs (≥ 10 sessions/mois)</w:t>
            </w:r>
          </w:p>
        </w:tc>
      </w:tr>
      <w:tr>
        <w:tc>
          <w:tcPr>
            <w:tcW w:type="dxa" w:w="4419"/>
          </w:tcPr>
          <w:p>
            <w:r>
              <w:rPr>
                <w:sz w:val="18"/>
              </w:rPr>
              <w:t>Chat de groupe</w:t>
            </w:r>
          </w:p>
        </w:tc>
        <w:tc>
          <w:tcPr>
            <w:tcW w:type="dxa" w:w="4419"/>
          </w:tcPr>
          <w:p>
            <w:r>
              <w:rPr>
                <w:sz w:val="18"/>
              </w:rPr>
              <w:t>Non rémunéré (participation libre)</w:t>
            </w:r>
          </w:p>
        </w:tc>
      </w:tr>
    </w:tbl>
    <w:p/>
    <w:p>
      <w:pPr>
        <w:spacing w:after="120"/>
      </w:pPr>
      <w:r>
        <w:rPr>
          <w:sz w:val="20"/>
        </w:rPr>
        <w:t>TVA non applicable — Article 293 B du CGI (auto-entrepreneur en franchise de base de TVA).</w:t>
      </w:r>
    </w:p>
    <w:p>
      <w:pPr>
        <w:spacing w:after="120"/>
      </w:pPr>
      <w:r>
        <w:rPr>
          <w:sz w:val="20"/>
        </w:rPr>
        <w:t>Le paiement s'effectue par virement bancaire sur le RIB fourni par l'Écoutant, dans les 10 jours ouvrés suivant réception de la facture mensuelle.</w:t>
      </w:r>
    </w:p>
    <w:p>
      <w:pPr>
        <w:jc w:val="left"/>
      </w:pPr>
      <w:r>
        <w:rPr>
          <w:b/>
          <w:color w:val="C4714A"/>
          <w:sz w:val="24"/>
        </w:rPr>
        <w:t>Article 8 — Confidentialité</w:t>
      </w:r>
    </w:p>
    <w:p>
      <w:pPr>
        <w:spacing w:after="120"/>
      </w:pPr>
      <w:r>
        <w:rPr>
          <w:sz w:val="20"/>
        </w:rPr>
        <w:t>L'Écoutant s'engage à maintenir strictement confidentielles toutes les informations relatives aux utilisateurs, aux sessions, aux données techniques et commerciales de Parlons, pendant toute la durée du contrat et après sa résiliation, sans limitation de durée.</w:t>
      </w:r>
    </w:p>
    <w:p>
      <w:pPr>
        <w:spacing w:after="120"/>
      </w:pPr>
      <w:r>
        <w:rPr>
          <w:sz w:val="20"/>
        </w:rPr>
        <w:t>Toute violation de cette clause pourra donner lieu à des poursuites judiciaires.</w:t>
      </w:r>
    </w:p>
    <w:p>
      <w:pPr>
        <w:jc w:val="left"/>
      </w:pPr>
      <w:r>
        <w:rPr>
          <w:b/>
          <w:color w:val="C4714A"/>
          <w:sz w:val="24"/>
        </w:rPr>
        <w:t>Article 9 — Résiliation</w:t>
      </w:r>
    </w:p>
    <w:p>
      <w:pPr>
        <w:spacing w:after="120"/>
      </w:pPr>
      <w:r>
        <w:rPr>
          <w:sz w:val="20"/>
        </w:rPr>
        <w:t>Chacune des parties peut mettre fin au présent contrat par envoi d'un email avec accusé de réception, avec un préavis de 15 jours calendaires.</w:t>
      </w:r>
    </w:p>
    <w:p>
      <w:pPr>
        <w:spacing w:after="120"/>
      </w:pPr>
      <w:r>
        <w:rPr>
          <w:sz w:val="20"/>
        </w:rPr>
        <w:t>Parlons se réserve le droit de résilier le contrat sans préavis en cas de manquement grave aux obligations de l'Écoutant (violation de confidentialité, comportement inapproprié envers un utilisateur, mise en danger d'un utilisateur).</w:t>
      </w:r>
    </w:p>
    <w:p>
      <w:pPr>
        <w:jc w:val="left"/>
      </w:pPr>
      <w:r>
        <w:rPr>
          <w:b/>
          <w:color w:val="C4714A"/>
          <w:sz w:val="24"/>
        </w:rPr>
        <w:t>Article 10 — Droit applicable</w:t>
      </w:r>
    </w:p>
    <w:p>
      <w:pPr>
        <w:spacing w:after="120"/>
      </w:pPr>
      <w:r>
        <w:rPr>
          <w:sz w:val="20"/>
        </w:rPr>
        <w:t>Le présent contrat est soumis au droit français. En cas de litige, les parties s'engagent à rechercher une solution amiable avant tout recours judiciaire. À défaut, le tribunal compétent sera celui du ressort du domicile de Parlons.</w:t>
      </w:r>
    </w:p>
    <w:p>
      <w:pPr>
        <w:jc w:val="left"/>
      </w:pPr>
      <w:r>
        <w:rPr>
          <w:b/>
          <w:color w:val="C4714A"/>
          <w:sz w:val="24"/>
        </w:rPr>
        <w:t>Article 11 — Signatures</w:t>
      </w:r>
    </w:p>
    <w:p>
      <w:pPr>
        <w:spacing w:after="400"/>
      </w:pPr>
      <w:r>
        <w:rPr>
          <w:sz w:val="20"/>
        </w:rPr>
        <w:t xml:space="preserve">Fait en deux exemplaires originaux, à </w:t>
      </w:r>
      <w:r>
        <w:rPr>
          <w:sz w:val="20"/>
          <w:u w:val="single"/>
        </w:rPr>
        <w:t>________________</w:t>
      </w:r>
      <w:r>
        <w:rPr>
          <w:sz w:val="20"/>
        </w:rPr>
        <w:t xml:space="preserve">, le </w:t>
      </w:r>
      <w:r>
        <w:rPr>
          <w:sz w:val="20"/>
          <w:u w:val="single"/>
        </w:rPr>
        <w:t>________________</w:t>
      </w:r>
    </w:p>
    <w:tbl>
      <w:tblPr>
        <w:tblW w:type="auto" w:w="0"/>
        <w:tblLook w:firstColumn="1" w:firstRow="1" w:lastColumn="0" w:lastRow="0" w:noHBand="0" w:noVBand="1" w:val="04A0"/>
      </w:tblPr>
      <w:tblGrid>
        <w:gridCol w:w="4419"/>
        <w:gridCol w:w="4419"/>
      </w:tblGrid>
      <w:tr>
        <w:tc>
          <w:tcPr>
            <w:tcW w:type="dxa" w:w="4419"/>
          </w:tcPr>
          <w:p>
            <w:r>
              <w:rPr>
                <w:b/>
                <w:color w:val="C4714A"/>
                <w:sz w:val="18"/>
              </w:rPr>
              <w:t>Pour Parlons (La Plateforme)</w:t>
            </w:r>
          </w:p>
        </w:tc>
        <w:tc>
          <w:tcPr>
            <w:tcW w:type="dxa" w:w="4419"/>
          </w:tcPr>
          <w:p>
            <w:r>
              <w:rPr>
                <w:b/>
                <w:color w:val="C4714A"/>
                <w:sz w:val="18"/>
              </w:rPr>
              <w:t>Le Prestataire (Écoutant)</w:t>
            </w:r>
          </w:p>
        </w:tc>
      </w:tr>
      <w:tr>
        <w:tc>
          <w:tcPr>
            <w:tcW w:type="dxa" w:w="4419"/>
          </w:tcPr>
          <w:p>
            <w:r>
              <w:rPr>
                <w:sz w:val="18"/>
              </w:rPr>
              <w:t>Marvin Lafeychine</w:t>
            </w:r>
          </w:p>
        </w:tc>
        <w:tc>
          <w:tcPr>
            <w:tcW w:type="dxa" w:w="4419"/>
          </w:tcPr>
          <w:p>
            <w:r>
              <w:rPr>
                <w:b/>
                <w:color w:val="C4714A"/>
                <w:sz w:val="18"/>
              </w:rPr>
              <w:t>[NOM PRÉNOM]</w:t>
            </w:r>
          </w:p>
        </w:tc>
      </w:tr>
      <w:tr>
        <w:tc>
          <w:tcPr>
            <w:tcW w:type="dxa" w:w="4419"/>
          </w:tcPr>
          <w:p>
            <w:r>
              <w:rPr>
                <w:sz w:val="18"/>
              </w:rPr>
              <w:t>Fondateur — Parlons</w:t>
            </w:r>
          </w:p>
        </w:tc>
        <w:tc>
          <w:tcPr>
            <w:tcW w:type="dxa" w:w="4419"/>
          </w:tcPr>
          <w:p>
            <w:r>
              <w:rPr>
                <w:b/>
                <w:color w:val="C4714A"/>
                <w:sz w:val="18"/>
              </w:rPr>
              <w:t>Auto-entrepreneur · SIRET : [SIRET]</w:t>
            </w:r>
          </w:p>
        </w:tc>
      </w:tr>
      <w:tr>
        <w:tc>
          <w:tcPr>
            <w:tcW w:type="dxa" w:w="4419"/>
          </w:tcPr>
          <w:p>
            <w:r>
              <w:rPr>
                <w:sz w:val="18"/>
              </w:rPr>
              <w:br/>
              <w:br/>
              <w:br/>
              <w:br/>
              <w:t>_________________________________</w:t>
            </w:r>
          </w:p>
        </w:tc>
        <w:tc>
          <w:tcPr>
            <w:tcW w:type="dxa" w:w="4419"/>
          </w:tcPr>
          <w:p>
            <w:r>
              <w:rPr>
                <w:sz w:val="18"/>
              </w:rPr>
              <w:br/>
              <w:br/>
              <w:br/>
              <w:br/>
              <w:t>_________________________________</w:t>
            </w:r>
          </w:p>
        </w:tc>
      </w:tr>
      <w:tr>
        <w:tc>
          <w:tcPr>
            <w:tcW w:type="dxa" w:w="4419"/>
          </w:tcPr>
          <w:p>
            <w:r>
              <w:rPr>
                <w:color w:val="B09070"/>
                <w:sz w:val="16"/>
              </w:rPr>
              <w:t>Signature précédée de « Lu et approuvé »</w:t>
            </w:r>
          </w:p>
        </w:tc>
        <w:tc>
          <w:tcPr>
            <w:tcW w:type="dxa" w:w="4419"/>
          </w:tcPr>
          <w:p>
            <w:r>
              <w:rPr>
                <w:color w:val="B09070"/>
                <w:sz w:val="16"/>
              </w:rPr>
              <w:t>Signature précédée de « Lu et approuvé »</w:t>
            </w:r>
          </w:p>
        </w:tc>
      </w:tr>
    </w:tbl>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