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Homo Noxis - Whole-Book Narrator &amp; Style Doctrine</w:t>
      </w:r>
    </w:p>
    <w:p>
      <w:pPr>
        <w:jc w:val="center"/>
      </w:pPr>
      <w:r>
        <w:rPr>
          <w:i/>
          <w:color w:val="505050"/>
          <w:sz w:val="22"/>
        </w:rPr>
        <w:t>Big Bang Rewrite Method - Governing Voice Guide for Future Prose Work</w:t>
      </w:r>
    </w:p>
    <w:p>
      <w:pPr>
        <w:pStyle w:val="DoctrineBox"/>
      </w:pPr>
      <w:r>
        <w:t>This document is purely a whole-book stylistic and narrative guide. It is not a pendulum blueprint, not a Hall architecture file, and not a chapter event map. It governs the voice, sentence rhythm, narrator stance, revelation discipline, and rewrite method for Homo Noxis prose going forward.</w:t>
      </w:r>
    </w:p>
    <w:p>
      <w:pPr>
        <w:pStyle w:val="Heading1"/>
      </w:pPr>
      <w:r>
        <w:t>1. Core rule</w:t>
      </w:r>
    </w:p>
    <w:p>
      <w:pPr/>
      <w:r>
        <w:t>Whenever future Homo Noxis prose is drafted or rewritten, this guide should be treated as the governing style doctrine for voice and narration. It sits beside the current manuscript and the standing methodology file. It does not replace locked plot canon, scripture, chapter structure, Kahir mechanics, or user decisions; it tells the prose how to speak.</w:t>
      </w:r>
    </w:p>
    <w:p>
      <w:pPr/>
      <w:r>
        <w:t>The core voice is:</w:t>
      </w:r>
    </w:p>
    <w:p>
      <w:pPr>
        <w:pStyle w:val="DoctrineBox"/>
      </w:pPr>
      <w:r>
        <w:t>A forbidden witness remembers his childhood with the precision of a man who later understood the legal machinery that destroyed him.</w:t>
      </w:r>
    </w:p>
    <w:p>
      <w:pPr>
        <w:pStyle w:val="Heading1"/>
      </w:pPr>
      <w:r>
        <w:t>2. The narrative contract</w:t>
      </w:r>
    </w:p>
    <w:p>
      <w:pPr>
        <w:pStyle w:val="Heading2"/>
      </w:pPr>
      <w:r>
        <w:t>2.1 Who narrates</w:t>
      </w:r>
    </w:p>
    <w:p>
      <w:pPr/>
      <w:r>
        <w:t>Book 1 is not narrated by Paul Morgan. Paul is the preserver, retranscriber, receiver, or transmitter of the testimony. The central voice belongs to Kailan after he has passed through his successive legal identities: Kailan, Sa-Kailan, Va-Kailan, and then Sa-Kylian. The voice is therefore first-person testimony, not neutral third-person fantasy narration.</w:t>
      </w:r>
    </w:p>
    <w:p>
      <w:pPr/>
      <w:r>
        <w:t>The narrator is a man formed by the Mountain, later removed from its ordinary legal categories, and preserved by an Outsider chain. He knows that childhood scenes were not merely childhood scenes. He knows that rooms, names, ceremonies, lessons, permissions, and silences were legal and institutional machinery. But he must not reveal every future implication too early.</w:t>
      </w:r>
    </w:p>
    <w:p>
      <w:pPr>
        <w:pStyle w:val="Heading2"/>
      </w:pPr>
      <w:r>
        <w:t>2.2 The two temporal layers</w:t>
      </w:r>
    </w:p>
    <w:tbl>
      <w:tblPr>
        <w:tblStyle w:val="TableGrid"/>
        <w:tblW w:type="auto" w:w="0"/>
        <w:tblLook w:firstColumn="1" w:firstRow="1" w:lastColumn="0" w:lastRow="0" w:noHBand="0" w:noVBand="1" w:val="04A0"/>
      </w:tblPr>
      <w:tblGrid>
        <w:gridCol w:w="3312"/>
        <w:gridCol w:w="3312"/>
        <w:gridCol w:w="3312"/>
      </w:tblGrid>
      <w:tr>
        <w:tc>
          <w:tcPr>
            <w:tcW w:type="dxa" w:w="2304"/>
          </w:tcPr>
          <w:p>
            <w:r>
              <w:rPr>
                <w:b/>
              </w:rPr>
              <w:t>Layer</w:t>
            </w:r>
          </w:p>
        </w:tc>
        <w:tc>
          <w:tcPr>
            <w:tcW w:type="dxa" w:w="4032"/>
          </w:tcPr>
          <w:p>
            <w:r>
              <w:rPr>
                <w:b/>
              </w:rPr>
              <w:t>Function</w:t>
            </w:r>
          </w:p>
        </w:tc>
        <w:tc>
          <w:tcPr>
            <w:tcW w:type="dxa" w:w="4320"/>
          </w:tcPr>
          <w:p>
            <w:r>
              <w:rPr>
                <w:b/>
              </w:rPr>
              <w:t>What it notices</w:t>
            </w:r>
          </w:p>
        </w:tc>
      </w:tr>
      <w:tr>
        <w:tc>
          <w:tcPr>
            <w:tcW w:type="dxa" w:w="2304"/>
          </w:tcPr>
          <w:p>
            <w:r>
              <w:t>Young Kailan inside the scene</w:t>
            </w:r>
          </w:p>
        </w:tc>
        <w:tc>
          <w:tcPr>
            <w:tcW w:type="dxa" w:w="4032"/>
          </w:tcPr>
          <w:p>
            <w:r>
              <w:t>Proud, hungry, observant, embarrassed, brilliant, immature, often wrong.</w:t>
            </w:r>
          </w:p>
        </w:tc>
        <w:tc>
          <w:tcPr>
            <w:tcW w:type="dxa" w:w="4320"/>
          </w:tcPr>
          <w:p>
            <w:r>
              <w:t>Feet, heat, robes, Va-Sheva, Va-Raedin approval, discomfort, awe, unfairness, visible objects.</w:t>
            </w:r>
          </w:p>
        </w:tc>
      </w:tr>
      <w:tr>
        <w:tc>
          <w:tcPr>
            <w:tcW w:type="dxa" w:w="2304"/>
          </w:tcPr>
          <w:p>
            <w:r>
              <w:t>Adult Sa-Kylian after the fact</w:t>
            </w:r>
          </w:p>
        </w:tc>
        <w:tc>
          <w:tcPr>
            <w:tcW w:type="dxa" w:w="4032"/>
          </w:tcPr>
          <w:p>
            <w:r>
              <w:t>Restrained, exact, wounded, legally educated by ruin, aware of office and consequence.</w:t>
            </w:r>
          </w:p>
        </w:tc>
        <w:tc>
          <w:tcPr>
            <w:tcW w:type="dxa" w:w="4320"/>
          </w:tcPr>
          <w:p>
            <w:r>
              <w:t>Proof, sequence, standing, office, containment, permission, what an object later became.</w:t>
            </w:r>
          </w:p>
        </w:tc>
      </w:tr>
    </w:tbl>
    <w:p/>
    <w:p>
      <w:pPr/>
      <w:r>
        <w:t>The prose should move between these layers without announcing every transition. The child supplies the body. The adult supplies the wound and the institutional reading.</w:t>
      </w:r>
    </w:p>
    <w:p>
      <w:pPr>
        <w:pStyle w:val="Heading2"/>
      </w:pPr>
      <w:r>
        <w:t>2.3 Paul’s role</w:t>
      </w:r>
    </w:p>
    <w:p>
      <w:pPr/>
      <w:r>
        <w:t>Paul may frame, preserve, translate, or arrange the testimony, but he should not modernize the Mountain into ordinary outside categories. The prose may be cleaner than literal speech because it has been preserved or retranscribed, but it should still feel translated from a mind formed by the Mountain.</w:t>
      </w:r>
    </w:p>
    <w:p>
      <w:pPr/>
      <w:r>
        <w:t>Paulish intrusions inside the chapters should be rare. In Book 1, the prose should remain mostly inside Kailan’s remembered categories: Kahir, Keeper, Veil, Candidate, Shield, Balance, Faith, Justice, Light, standing, seal, proof, sequence, Threshold Exception.</w:t>
      </w:r>
    </w:p>
    <w:p>
      <w:pPr>
        <w:pStyle w:val="Heading1"/>
      </w:pPr>
      <w:r>
        <w:t>3. Narrator point in time: Switzerland / Horizon</w:t>
      </w:r>
    </w:p>
    <w:p>
      <w:pPr/>
      <w:r>
        <w:t>The narrating consciousness is not the boy in the Hall, and not yet a free modern person. He is Sa-Kylian after removal from ordinary Mountain life, with the Switzerland/Horizon stage as the first true outside frame. The chronology anchor is 1998: Kailan/Sa-Kylian arrives in Switzerland in 1998.</w:t>
      </w:r>
    </w:p>
    <w:p>
      <w:pPr/>
      <w:r>
        <w:t>The adult narrator may sometimes contrast the Mountain with Switzerland, but sparingly and with precision. Switzerland should enter as a change in category: windows without wardens, taps that give water without spoken measure, churches he is told not to enter, documents that open doors without ancestry, food that appears without visible ledger, doors that lock for privacy rather than containment.</w:t>
      </w:r>
    </w:p>
    <w:p>
      <w:pPr/>
      <w:r>
        <w:t>Do not overuse these contrasts. They should appear like cold glints from the future, not as exposition. The first book should remain governed by Mountain categories until Horizon arrives openly.</w:t>
      </w:r>
    </w:p>
    <w:p>
      <w:pPr>
        <w:pStyle w:val="Heading1"/>
      </w:pPr>
      <w:r>
        <w:t>4. The macro-phrase method</w:t>
      </w:r>
    </w:p>
    <w:p>
      <w:pPr>
        <w:pStyle w:val="Heading2"/>
      </w:pPr>
      <w:r>
        <w:t>4.1 Source of the method</w:t>
      </w:r>
    </w:p>
    <w:p>
      <w:pPr/>
      <w:r>
        <w:t>The successful Chapter 1 opening came from a long oral macro-phrase method: dense, propulsive sentence-units with internal jolts, bodily pressure, disgust, irony, institutional perception, and a retrospective wound. This method may be called Celine-inspired in the narrow technical sense of long spoken macro-phrases and corrosive propulsion, but it must not become parody, slang imitation, or decorative pastiche.</w:t>
      </w:r>
    </w:p>
    <w:p>
      <w:pPr/>
      <w:r>
        <w:t>The goal is not to sound like Celine. The goal is to use a long, breath-driven, brutal-precise sentence architecture suited to Sa-Kylian: a witness who can still feel the child’s body while understanding the legal machine around it.</w:t>
      </w:r>
    </w:p>
    <w:p>
      <w:pPr>
        <w:pStyle w:val="Heading2"/>
      </w:pPr>
      <w:r>
        <w:t>4.2 Sentence-length targets</w:t>
      </w:r>
    </w:p>
    <w:p>
      <w:pPr/>
      <w:r>
        <w:t>The macro-phrase is a sentence-unit, not necessarily a paragraph. The style should avoid both short-chop monotony and endless unreadable sprawl.</w:t>
      </w:r>
    </w:p>
    <w:tbl>
      <w:tblPr>
        <w:tblStyle w:val="TableGrid"/>
        <w:tblW w:type="auto" w:w="0"/>
        <w:tblLook w:firstColumn="1" w:firstRow="1" w:lastColumn="0" w:lastRow="0" w:noHBand="0" w:noVBand="1" w:val="04A0"/>
      </w:tblPr>
      <w:tblGrid>
        <w:gridCol w:w="2484"/>
        <w:gridCol w:w="2484"/>
        <w:gridCol w:w="2484"/>
        <w:gridCol w:w="2484"/>
      </w:tblGrid>
      <w:tr>
        <w:tc>
          <w:tcPr>
            <w:tcW w:type="dxa" w:w="3024"/>
          </w:tcPr>
          <w:p>
            <w:r>
              <w:rPr>
                <w:b/>
              </w:rPr>
              <w:t>Mode</w:t>
            </w:r>
          </w:p>
        </w:tc>
        <w:tc>
          <w:tcPr>
            <w:tcW w:type="dxa" w:w="2016"/>
          </w:tcPr>
          <w:p>
            <w:r>
              <w:rPr>
                <w:b/>
              </w:rPr>
              <w:t>Target average</w:t>
            </w:r>
          </w:p>
        </w:tc>
        <w:tc>
          <w:tcPr>
            <w:tcW w:type="dxa" w:w="2304"/>
          </w:tcPr>
          <w:p>
            <w:r>
              <w:rPr>
                <w:b/>
              </w:rPr>
              <w:t>Preferred range</w:t>
            </w:r>
          </w:p>
        </w:tc>
        <w:tc>
          <w:tcPr>
            <w:tcW w:type="dxa" w:w="3600"/>
          </w:tcPr>
          <w:p>
            <w:r>
              <w:rPr>
                <w:b/>
              </w:rPr>
              <w:t>Hard caution</w:t>
            </w:r>
          </w:p>
        </w:tc>
      </w:tr>
      <w:tr>
        <w:tc>
          <w:tcPr>
            <w:tcW w:type="dxa" w:w="3024"/>
          </w:tcPr>
          <w:p>
            <w:r>
              <w:t>High ceremony / institutional dread</w:t>
            </w:r>
          </w:p>
        </w:tc>
        <w:tc>
          <w:tcPr>
            <w:tcW w:type="dxa" w:w="2016"/>
          </w:tcPr>
          <w:p>
            <w:r>
              <w:t>90-115 words</w:t>
            </w:r>
          </w:p>
        </w:tc>
        <w:tc>
          <w:tcPr>
            <w:tcW w:type="dxa" w:w="2304"/>
          </w:tcPr>
          <w:p>
            <w:r>
              <w:t>75-135 words</w:t>
            </w:r>
          </w:p>
        </w:tc>
        <w:tc>
          <w:tcPr>
            <w:tcW w:type="dxa" w:w="3600"/>
          </w:tcPr>
          <w:p>
            <w:r>
              <w:t>Do not exceed 160 unless the sentence earns the pressure.</w:t>
            </w:r>
          </w:p>
        </w:tc>
      </w:tr>
      <w:tr>
        <w:tc>
          <w:tcPr>
            <w:tcW w:type="dxa" w:w="3024"/>
          </w:tcPr>
          <w:p>
            <w:r>
              <w:t>Reflective object-led narration</w:t>
            </w:r>
          </w:p>
        </w:tc>
        <w:tc>
          <w:tcPr>
            <w:tcW w:type="dxa" w:w="2016"/>
          </w:tcPr>
          <w:p>
            <w:r>
              <w:t>75-105 words</w:t>
            </w:r>
          </w:p>
        </w:tc>
        <w:tc>
          <w:tcPr>
            <w:tcW w:type="dxa" w:w="2304"/>
          </w:tcPr>
          <w:p>
            <w:r>
              <w:t>55-130 words</w:t>
            </w:r>
          </w:p>
        </w:tc>
        <w:tc>
          <w:tcPr>
            <w:tcW w:type="dxa" w:w="3600"/>
          </w:tcPr>
          <w:p>
            <w:r>
              <w:t>Break before the sentence becomes abstract essay.</w:t>
            </w:r>
          </w:p>
        </w:tc>
      </w:tr>
      <w:tr>
        <w:tc>
          <w:tcPr>
            <w:tcW w:type="dxa" w:w="3024"/>
          </w:tcPr>
          <w:p>
            <w:r>
              <w:t>Action / movement / dialogue pressure</w:t>
            </w:r>
          </w:p>
        </w:tc>
        <w:tc>
          <w:tcPr>
            <w:tcW w:type="dxa" w:w="2016"/>
          </w:tcPr>
          <w:p>
            <w:r>
              <w:t>25-65 words</w:t>
            </w:r>
          </w:p>
        </w:tc>
        <w:tc>
          <w:tcPr>
            <w:tcW w:type="dxa" w:w="2304"/>
          </w:tcPr>
          <w:p>
            <w:r>
              <w:t>8-90 words</w:t>
            </w:r>
          </w:p>
        </w:tc>
        <w:tc>
          <w:tcPr>
            <w:tcW w:type="dxa" w:w="3600"/>
          </w:tcPr>
          <w:p>
            <w:r>
              <w:t>Short sentences are allowed when the room cuts.</w:t>
            </w:r>
          </w:p>
        </w:tc>
      </w:tr>
      <w:tr>
        <w:tc>
          <w:tcPr>
            <w:tcW w:type="dxa" w:w="3024"/>
          </w:tcPr>
          <w:p>
            <w:r>
              <w:t>Shock, correction, aphoristic blow</w:t>
            </w:r>
          </w:p>
        </w:tc>
        <w:tc>
          <w:tcPr>
            <w:tcW w:type="dxa" w:w="2016"/>
          </w:tcPr>
          <w:p>
            <w:r>
              <w:t>3-25 words</w:t>
            </w:r>
          </w:p>
        </w:tc>
        <w:tc>
          <w:tcPr>
            <w:tcW w:type="dxa" w:w="2304"/>
          </w:tcPr>
          <w:p>
            <w:r>
              <w:t>1-35 words</w:t>
            </w:r>
          </w:p>
        </w:tc>
        <w:tc>
          <w:tcPr>
            <w:tcW w:type="dxa" w:w="3600"/>
          </w:tcPr>
          <w:p>
            <w:r>
              <w:t>Use sparingly; the short blow matters because the surrounding breath is long.</w:t>
            </w:r>
          </w:p>
        </w:tc>
      </w:tr>
    </w:tbl>
    <w:p/>
    <w:p>
      <w:pPr/>
      <w:r>
        <w:t>Whole passage guideline: in major prose blocks, roughly 60-70% of sentences should be macro-phrases, 20-30% medium sentences, and 5-10% short blows or dialogue fragments. The approximate average sentence length should usually sit around 80-105 words in ceremonial or philosophical prose, lower in action or dialogue.</w:t>
      </w:r>
    </w:p>
    <w:p>
      <w:pPr>
        <w:pStyle w:val="Heading2"/>
      </w:pPr>
      <w:r>
        <w:t>4.3 Shape of the macro-phrase</w:t>
      </w:r>
    </w:p>
    <w:p>
      <w:pPr/>
      <w:r>
        <w:t>The best sentence often moves through this chain:</w:t>
      </w:r>
    </w:p>
    <w:p>
      <w:pPr>
        <w:ind w:left="360" w:hanging="360"/>
      </w:pPr>
      <w:r>
        <w:t>1.</w:t>
        <w:tab/>
        <w:t>Concrete bodily fact: feet, collar, thirst, hand, heat, stone, breath.</w:t>
      </w:r>
    </w:p>
    <w:p>
      <w:pPr>
        <w:ind w:left="360" w:hanging="360"/>
      </w:pPr>
      <w:r>
        <w:t>2.</w:t>
        <w:tab/>
        <w:t>Institutional object: gate, lamp, basin, tablet, robe, pillar, cord, record.</w:t>
      </w:r>
    </w:p>
    <w:p>
      <w:pPr>
        <w:ind w:left="360" w:hanging="360"/>
      </w:pPr>
      <w:r>
        <w:t>3.</w:t>
        <w:tab/>
        <w:t>Young misreading: pride, desire, irritation, wrong certainty, embarrassment.</w:t>
      </w:r>
    </w:p>
    <w:p>
      <w:pPr>
        <w:ind w:left="360" w:hanging="360"/>
      </w:pPr>
      <w:r>
        <w:t>4.</w:t>
        <w:tab/>
        <w:t>Adult correction: what the object later meant legally, socially, or doctrinally.</w:t>
      </w:r>
    </w:p>
    <w:p>
      <w:pPr>
        <w:ind w:left="360" w:hanging="360"/>
      </w:pPr>
      <w:r>
        <w:t>5.</w:t>
        <w:tab/>
        <w:t>Small brutal truth: not a slogan, but a wound made exact.</w:t>
      </w:r>
    </w:p>
    <w:p>
      <w:pPr/>
      <w:r>
        <w:t>Example pattern, not to be copied mechanically:</w:t>
      </w:r>
    </w:p>
    <w:p>
      <w:pPr>
        <w:pStyle w:val="DoctrineBox"/>
      </w:pPr>
      <w:r>
        <w:t>My feet hurt before the ceremony became holy, which is one of the inconveniences of being fifteen in a civilization that believed the body could be trained out of complaint if enough offices agreed to ignore it; the robe scratched, the sandals cut, the lamps burned with all the patience I lacked, and the Hall, which adults insisted was built for God, seemed to me at first built mostly to prove that children had knees.</w:t>
      </w:r>
    </w:p>
    <w:p>
      <w:pPr>
        <w:pStyle w:val="Heading1"/>
      </w:pPr>
      <w:r>
        <w:t>5. Governing philosophy of narration</w:t>
      </w:r>
    </w:p>
    <w:p>
      <w:pPr>
        <w:pStyle w:val="Heading2"/>
      </w:pPr>
      <w:r>
        <w:t>5.1 The Mountain’s logic must work</w:t>
      </w:r>
    </w:p>
    <w:p>
      <w:pPr/>
      <w:r>
        <w:t>The narration must never reduce the Mountain to stupidity or simple evil. The horror is that the system often works. It preserves life, distributes resources, prevents exposure, and gives meaning. Its cruelty is more frightening because it is intelligent, procedural, and internally coherent.</w:t>
      </w:r>
    </w:p>
    <w:p>
      <w:pPr>
        <w:pStyle w:val="DoctrineBox"/>
      </w:pPr>
      <w:r>
        <w:t>Core attitude: I do not write this because the Mountain was stupid. I write it because it was not.</w:t>
      </w:r>
    </w:p>
    <w:p>
      <w:pPr>
        <w:pStyle w:val="Heading2"/>
      </w:pPr>
      <w:r>
        <w:t>5.2 Object-led doctrine</w:t>
      </w:r>
    </w:p>
    <w:p>
      <w:pPr/>
      <w:r>
        <w:t>Philosophy should pass through objects. Do not explain that the Mountain controls knowledge in abstract terms when a gate, basin, lamp, robe, tablet, sealed jar, or bandage can show it. Every important object should do at least two jobs: physical and doctrinal; sensory and legal; beautiful and dangerous.</w:t>
      </w:r>
    </w:p>
    <w:p>
      <w:pPr>
        <w:pStyle w:val="Heading2"/>
      </w:pPr>
      <w:r>
        <w:t>5.3 Knowledge has cost</w:t>
      </w:r>
    </w:p>
    <w:p>
      <w:pPr/>
      <w:r>
        <w:t>Curiosity is not free. Revelation consumes oil, time, witnesses, risk, water, warmth, labour, and legal standing. The narration should make discovery feel costly before the plot punishes it.</w:t>
      </w:r>
    </w:p>
    <w:p>
      <w:pPr>
        <w:pStyle w:val="Heading2"/>
      </w:pPr>
      <w:r>
        <w:t>5.4 Partial revelation</w:t>
      </w:r>
    </w:p>
    <w:p>
      <w:pPr/>
      <w:r>
        <w:t>Partial revelation is stronger than full explanation. The reader should often understand that something matters before understanding why. A scene should reveal enough to make the reader lean forward, not enough to empty later chapters.</w:t>
      </w:r>
    </w:p>
    <w:p>
      <w:pPr>
        <w:pStyle w:val="Heading1"/>
      </w:pPr>
      <w:r>
        <w:t>6. Revelation discipline and spoiler control</w:t>
      </w:r>
    </w:p>
    <w:p>
      <w:pPr/>
      <w:r>
        <w:t>The adult narrator knows much more than the child, but he must reveal truth with restraint. Foreshadowing should create pressure without burning future discoveries.</w:t>
      </w:r>
    </w:p>
    <w:tbl>
      <w:tblPr>
        <w:tblStyle w:val="TableGrid"/>
        <w:tblW w:type="auto" w:w="0"/>
        <w:tblLook w:firstColumn="1" w:firstRow="1" w:lastColumn="0" w:lastRow="0" w:noHBand="0" w:noVBand="1" w:val="04A0"/>
      </w:tblPr>
      <w:tblGrid>
        <w:gridCol w:w="4968"/>
        <w:gridCol w:w="4968"/>
      </w:tblGrid>
      <w:tr>
        <w:tc>
          <w:tcPr>
            <w:tcW w:type="dxa" w:w="4608"/>
          </w:tcPr>
          <w:p>
            <w:r>
              <w:rPr>
                <w:b/>
              </w:rPr>
              <w:t>Forbidden too early</w:t>
            </w:r>
          </w:p>
        </w:tc>
        <w:tc>
          <w:tcPr>
            <w:tcW w:type="dxa" w:w="6048"/>
          </w:tcPr>
          <w:p>
            <w:r>
              <w:rPr>
                <w:b/>
              </w:rPr>
              <w:t>Allowed early version</w:t>
            </w:r>
          </w:p>
        </w:tc>
      </w:tr>
      <w:tr>
        <w:tc>
          <w:tcPr>
            <w:tcW w:type="dxa" w:w="4608"/>
          </w:tcPr>
          <w:p>
            <w:r>
              <w:t>Full Cataclysm mechanism</w:t>
            </w:r>
          </w:p>
        </w:tc>
        <w:tc>
          <w:tcPr>
            <w:tcW w:type="dxa" w:w="6048"/>
          </w:tcPr>
          <w:p>
            <w:r>
              <w:t>Hints that divided charges defend the hidden people and could also destroy.</w:t>
            </w:r>
          </w:p>
        </w:tc>
      </w:tr>
      <w:tr>
        <w:tc>
          <w:tcPr>
            <w:tcW w:type="dxa" w:w="4608"/>
          </w:tcPr>
          <w:p>
            <w:r>
              <w:t>Tomb contents</w:t>
            </w:r>
          </w:p>
        </w:tc>
        <w:tc>
          <w:tcPr>
            <w:tcW w:type="dxa" w:w="6048"/>
          </w:tcPr>
          <w:p>
            <w:r>
              <w:t>A carried thing can become dangerous; proof travels.</w:t>
            </w:r>
          </w:p>
        </w:tc>
      </w:tr>
      <w:tr>
        <w:tc>
          <w:tcPr>
            <w:tcW w:type="dxa" w:w="4608"/>
          </w:tcPr>
          <w:p>
            <w:r>
              <w:t>Threshold Exception mechanics</w:t>
            </w:r>
          </w:p>
        </w:tc>
        <w:tc>
          <w:tcPr>
            <w:tcW w:type="dxa" w:w="6048"/>
          </w:tcPr>
          <w:p>
            <w:r>
              <w:t>Some legal categories exist beyond ordinary defence.</w:t>
            </w:r>
          </w:p>
        </w:tc>
      </w:tr>
      <w:tr>
        <w:tc>
          <w:tcPr>
            <w:tcW w:type="dxa" w:w="4608"/>
          </w:tcPr>
          <w:p>
            <w:r>
              <w:t>Seismology / resonance / wave-propagation terminology before Chapter 8 revelation</w:t>
            </w:r>
          </w:p>
        </w:tc>
        <w:tc>
          <w:tcPr>
            <w:tcW w:type="dxa" w:w="6048"/>
          </w:tcPr>
          <w:p>
            <w:r>
              <w:t>Rhythm, echo, return, stone receiving sound, Faith keeping time older than the day.</w:t>
            </w:r>
          </w:p>
        </w:tc>
      </w:tr>
      <w:tr>
        <w:tc>
          <w:tcPr>
            <w:tcW w:type="dxa" w:w="4608"/>
          </w:tcPr>
          <w:p>
            <w:r>
              <w:t>Full Horizon structure</w:t>
            </w:r>
          </w:p>
        </w:tc>
        <w:tc>
          <w:tcPr>
            <w:tcW w:type="dxa" w:w="6048"/>
          </w:tcPr>
          <w:p>
            <w:r>
              <w:t>Switzerland as a later category of windows, custody, documents, and forbidden churches.</w:t>
            </w:r>
          </w:p>
        </w:tc>
      </w:tr>
    </w:tbl>
    <w:p/>
    <w:p>
      <w:pPr/>
      <w:r>
        <w:t>When in doubt, use sensory foreshadowing rather than technical naming. The reader may feel the pattern before the narrator names the science.</w:t>
      </w:r>
    </w:p>
    <w:p>
      <w:pPr>
        <w:pStyle w:val="Heading1"/>
      </w:pPr>
      <w:r>
        <w:t>7. Diction</w:t>
      </w:r>
    </w:p>
    <w:p>
      <w:pPr>
        <w:pStyle w:val="Heading2"/>
      </w:pPr>
      <w:r>
        <w:t>7.1 Preferred language</w:t>
      </w:r>
    </w:p>
    <w:p>
      <w:pPr/>
      <w:r>
        <w:t>Use Mountain-native words and legal-institutional grammar: charge, standing, office, witness, sequence, proof, threshold, permission, measure, seal, record, correction, name, category, hand, route, silence, chamber, body, water, light, stone.</w:t>
      </w:r>
    </w:p>
    <w:p>
      <w:pPr>
        <w:pStyle w:val="Heading2"/>
      </w:pPr>
      <w:r>
        <w:t>7.2 Avoid modern softness</w:t>
      </w:r>
    </w:p>
    <w:p>
      <w:pPr/>
      <w:r>
        <w:t>Avoid: honestly, I guess, looking back, in retrospect, kind of, sort of, trauma language, therapy language, internet irony, sitcom banter, modern memoir casualness.</w:t>
      </w:r>
    </w:p>
    <w:p>
      <w:pPr>
        <w:pStyle w:val="Heading2"/>
      </w:pPr>
      <w:r>
        <w:t>7.3 First-person verbs</w:t>
      </w:r>
    </w:p>
    <w:p>
      <w:pPr/>
      <w:r>
        <w:t>Prefer: I remember, I believed, I had been told, I watched, I thought, I did not understand, I wanted, I hated for one breath, I knew better than to, I learned the shape of before I knew the name.</w:t>
      </w:r>
    </w:p>
    <w:p>
      <w:pPr>
        <w:pStyle w:val="Heading1"/>
      </w:pPr>
      <w:r>
        <w:t>8. The then / later device</w:t>
      </w:r>
    </w:p>
    <w:p>
      <w:pPr/>
      <w:r>
        <w:t>Use the retrospective device sparingly and vary its form. It should deepen dread, not become a tic.</w:t>
      </w:r>
    </w:p>
    <w:p>
      <w:pPr/>
      <w:r>
        <w:t>Good forms:</w:t>
      </w:r>
    </w:p>
    <w:p>
      <w:pPr>
        <w:pStyle w:val="ListBullet"/>
      </w:pPr>
      <w:r>
        <w:t>I thought then... Later, I understood...</w:t>
      </w:r>
    </w:p>
    <w:p>
      <w:pPr>
        <w:pStyle w:val="ListBullet"/>
      </w:pPr>
      <w:r>
        <w:t>At the time, I believed...</w:t>
      </w:r>
    </w:p>
    <w:p>
      <w:pPr>
        <w:pStyle w:val="ListBullet"/>
      </w:pPr>
      <w:r>
        <w:t>I had no name yet for...</w:t>
      </w:r>
    </w:p>
    <w:p>
      <w:pPr>
        <w:pStyle w:val="ListBullet"/>
      </w:pPr>
      <w:r>
        <w:t>That should have taught me... It did not.</w:t>
      </w:r>
    </w:p>
    <w:p>
      <w:pPr>
        <w:pStyle w:val="ListBullet"/>
      </w:pPr>
      <w:r>
        <w:t>I knew the rule. I did not know its purpose.</w:t>
      </w:r>
    </w:p>
    <w:p>
      <w:pPr>
        <w:pStyle w:val="ListBullet"/>
      </w:pPr>
      <w:r>
        <w:t>I had seen the object. I had not understood the category.</w:t>
      </w:r>
    </w:p>
    <w:p>
      <w:pPr/>
      <w:r>
        <w:t>Bad use: repetitive explicit foreshadowing that explains future plot instead of creating pressure.</w:t>
      </w:r>
    </w:p>
    <w:p>
      <w:pPr>
        <w:pStyle w:val="Heading1"/>
      </w:pPr>
      <w:r>
        <w:t>9. Dialogue policy</w:t>
      </w:r>
    </w:p>
    <w:p>
      <w:pPr/>
      <w:r>
        <w:t>Dialogue should remain sharp and institutional. First person should frame dialogue, not soften it. Let corrections cut. A good exchange can carry doctrine without explanation.</w:t>
      </w:r>
    </w:p>
    <w:p>
      <w:pPr/>
      <w:r>
        <w:t>Example rhythm:</w:t>
      </w:r>
    </w:p>
    <w:p>
      <w:pPr>
        <w:pStyle w:val="DoctrineBox"/>
      </w:pPr>
      <w:r>
        <w:t>“Do you understand?”</w:t>
        <w:br/>
        <w:t>“Yes.”</w:t>
        <w:br/>
        <w:t>“No. You agree.”</w:t>
        <w:br/>
        <w:t>That correction stayed with me longer than the permission did.</w:t>
      </w:r>
    </w:p>
    <w:p>
      <w:pPr/>
      <w:r>
        <w:t>After strong dialogue, use one sentence of reflection, not five. Trust the cut.</w:t>
      </w:r>
    </w:p>
    <w:p>
      <w:pPr>
        <w:pStyle w:val="Heading1"/>
      </w:pPr>
      <w:r>
        <w:t>10. Humour policy</w:t>
      </w:r>
    </w:p>
    <w:p>
      <w:pPr/>
      <w:r>
        <w:t>Humour is necessary to prevent the book from becoming one continuous funeral. It must come from character and institution, not modern jokes.</w:t>
      </w:r>
    </w:p>
    <w:p>
      <w:pPr>
        <w:pStyle w:val="ListBullet"/>
      </w:pPr>
      <w:r>
        <w:t>Body humour: feet, robes, collars, hunger, stillness, teenage humiliation.</w:t>
      </w:r>
    </w:p>
    <w:p>
      <w:pPr>
        <w:pStyle w:val="ListBullet"/>
      </w:pPr>
      <w:r>
        <w:t>Institutional absurdity: terrifying procedure applied to minor things.</w:t>
      </w:r>
    </w:p>
    <w:p>
      <w:pPr>
        <w:pStyle w:val="ListBullet"/>
      </w:pPr>
      <w:r>
        <w:t>Ka-Syphiron warmth: the largest humour allowance, especially before office consumes him.</w:t>
      </w:r>
    </w:p>
    <w:p>
      <w:pPr>
        <w:pStyle w:val="ListBullet"/>
      </w:pPr>
      <w:r>
        <w:t>Va-Raedin dry correction: rare, precise, almost indistinguishable from insult.</w:t>
      </w:r>
    </w:p>
    <w:p>
      <w:pPr>
        <w:pStyle w:val="ListBullet"/>
      </w:pPr>
      <w:r>
        <w:t>Horizon culture shock: windows, cars, dinner knives, churches, unsecured books, and the absurdity of outside trust.</w:t>
      </w:r>
    </w:p>
    <w:p>
      <w:pPr>
        <w:pStyle w:val="Heading1"/>
      </w:pPr>
      <w:r>
        <w:t>11. Kahir voice handling</w:t>
      </w:r>
    </w:p>
    <w:tbl>
      <w:tblPr>
        <w:tblStyle w:val="TableGrid"/>
        <w:tblW w:type="auto" w:w="0"/>
        <w:tblLook w:firstColumn="1" w:firstRow="1" w:lastColumn="0" w:lastRow="0" w:noHBand="0" w:noVBand="1" w:val="04A0"/>
      </w:tblPr>
      <w:tblGrid>
        <w:gridCol w:w="2484"/>
        <w:gridCol w:w="2484"/>
        <w:gridCol w:w="2484"/>
        <w:gridCol w:w="2484"/>
      </w:tblGrid>
      <w:tr>
        <w:tc>
          <w:tcPr>
            <w:tcW w:type="dxa" w:w="1584"/>
          </w:tcPr>
          <w:p>
            <w:r>
              <w:rPr>
                <w:b/>
              </w:rPr>
              <w:t>Kahir</w:t>
            </w:r>
          </w:p>
        </w:tc>
        <w:tc>
          <w:tcPr>
            <w:tcW w:type="dxa" w:w="2880"/>
          </w:tcPr>
          <w:p>
            <w:r>
              <w:rPr>
                <w:b/>
              </w:rPr>
              <w:t>Young Kailan sees</w:t>
            </w:r>
          </w:p>
        </w:tc>
        <w:tc>
          <w:tcPr>
            <w:tcW w:type="dxa" w:w="3744"/>
          </w:tcPr>
          <w:p>
            <w:r>
              <w:rPr>
                <w:b/>
              </w:rPr>
              <w:t>Adult Sa-Kylian understands</w:t>
            </w:r>
          </w:p>
        </w:tc>
        <w:tc>
          <w:tcPr>
            <w:tcW w:type="dxa" w:w="2592"/>
          </w:tcPr>
          <w:p>
            <w:r>
              <w:rPr>
                <w:b/>
              </w:rPr>
              <w:t>Texture words</w:t>
            </w:r>
          </w:p>
        </w:tc>
      </w:tr>
      <w:tr>
        <w:tc>
          <w:tcPr>
            <w:tcW w:type="dxa" w:w="1584"/>
          </w:tcPr>
          <w:p>
            <w:r>
              <w:t>Light</w:t>
            </w:r>
          </w:p>
        </w:tc>
        <w:tc>
          <w:tcPr>
            <w:tcW w:type="dxa" w:w="2880"/>
          </w:tcPr>
          <w:p>
            <w:r>
              <w:t>Truth, beauty, intelligence, chosen hunger.</w:t>
            </w:r>
          </w:p>
        </w:tc>
        <w:tc>
          <w:tcPr>
            <w:tcW w:type="dxa" w:w="3744"/>
          </w:tcPr>
          <w:p>
            <w:r>
              <w:t>Arranged seeing; dangerous reproducibility; a discipline that made him credible as bearer.</w:t>
            </w:r>
          </w:p>
        </w:tc>
        <w:tc>
          <w:tcPr>
            <w:tcW w:type="dxa" w:w="2592"/>
          </w:tcPr>
          <w:p>
            <w:r>
              <w:t>Angle, aperture, lamp, mirror, surface, position, hidden mark.</w:t>
            </w:r>
          </w:p>
        </w:tc>
      </w:tr>
      <w:tr>
        <w:tc>
          <w:tcPr>
            <w:tcW w:type="dxa" w:w="1584"/>
          </w:tcPr>
          <w:p>
            <w:r>
              <w:t>Shield</w:t>
            </w:r>
          </w:p>
        </w:tc>
        <w:tc>
          <w:tcPr>
            <w:tcW w:type="dxa" w:w="2880"/>
          </w:tcPr>
          <w:p>
            <w:r>
              <w:t>Obstruction, denial, Va-Sheva’s impossible authority.</w:t>
            </w:r>
          </w:p>
        </w:tc>
        <w:tc>
          <w:tcPr>
            <w:tcW w:type="dxa" w:w="3744"/>
          </w:tcPr>
          <w:p>
            <w:r>
              <w:t>Containment; danger-definition before explanation; prevention as mercy and tyranny.</w:t>
            </w:r>
          </w:p>
        </w:tc>
        <w:tc>
          <w:tcPr>
            <w:tcW w:type="dxa" w:w="2592"/>
          </w:tcPr>
          <w:p>
            <w:r>
              <w:t>Threshold, seal, hand, gag, route, body held, speech held.</w:t>
            </w:r>
          </w:p>
        </w:tc>
      </w:tr>
      <w:tr>
        <w:tc>
          <w:tcPr>
            <w:tcW w:type="dxa" w:w="1584"/>
          </w:tcPr>
          <w:p>
            <w:r>
              <w:t>Faith</w:t>
            </w:r>
          </w:p>
        </w:tc>
        <w:tc>
          <w:tcPr>
            <w:tcW w:type="dxa" w:w="2880"/>
          </w:tcPr>
          <w:p>
            <w:r>
              <w:t>Scripture, old rhythm, public obedience.</w:t>
            </w:r>
          </w:p>
        </w:tc>
        <w:tc>
          <w:tcPr>
            <w:tcW w:type="dxa" w:w="3744"/>
          </w:tcPr>
          <w:p>
            <w:r>
              <w:t>Memory under pressure; breath, echo, ritual, story-control, public survival.</w:t>
            </w:r>
          </w:p>
        </w:tc>
        <w:tc>
          <w:tcPr>
            <w:tcW w:type="dxa" w:w="2592"/>
          </w:tcPr>
          <w:p>
            <w:r>
              <w:t>Breath, rhythm, echo, silence, prayer, words placed for stone.</w:t>
            </w:r>
          </w:p>
        </w:tc>
      </w:tr>
      <w:tr>
        <w:tc>
          <w:tcPr>
            <w:tcW w:type="dxa" w:w="1584"/>
          </w:tcPr>
          <w:p>
            <w:r>
              <w:t>Balance</w:t>
            </w:r>
          </w:p>
        </w:tc>
        <w:tc>
          <w:tcPr>
            <w:tcW w:type="dxa" w:w="2880"/>
          </w:tcPr>
          <w:p>
            <w:r>
              <w:t>Mundane counting and rationing.</w:t>
            </w:r>
          </w:p>
        </w:tc>
        <w:tc>
          <w:tcPr>
            <w:tcW w:type="dxa" w:w="3744"/>
          </w:tcPr>
          <w:p>
            <w:r>
              <w:t>Deep survival intelligence; cost, transformation, material mercy.</w:t>
            </w:r>
          </w:p>
        </w:tc>
        <w:tc>
          <w:tcPr>
            <w:tcW w:type="dxa" w:w="2592"/>
          </w:tcPr>
          <w:p>
            <w:r>
              <w:t>Water, jar, measure, heat, food, waste, body, cost.</w:t>
            </w:r>
          </w:p>
        </w:tc>
      </w:tr>
      <w:tr>
        <w:tc>
          <w:tcPr>
            <w:tcW w:type="dxa" w:w="1584"/>
          </w:tcPr>
          <w:p>
            <w:r>
              <w:t>Justice</w:t>
            </w:r>
          </w:p>
        </w:tc>
        <w:tc>
          <w:tcPr>
            <w:tcW w:type="dxa" w:w="2880"/>
          </w:tcPr>
          <w:p>
            <w:r>
              <w:t>Dry record and sequence.</w:t>
            </w:r>
          </w:p>
        </w:tc>
        <w:tc>
          <w:tcPr>
            <w:tcW w:type="dxa" w:w="3744"/>
          </w:tcPr>
          <w:p>
            <w:r>
              <w:t>Ordered consequence; law that can be terrible because it works.</w:t>
            </w:r>
          </w:p>
        </w:tc>
        <w:tc>
          <w:tcPr>
            <w:tcW w:type="dxa" w:w="2592"/>
          </w:tcPr>
          <w:p>
            <w:r>
              <w:t>Record, witness, sequence, standing, fact, correction, proof.</w:t>
            </w:r>
          </w:p>
        </w:tc>
      </w:tr>
    </w:tbl>
    <w:p/>
    <w:p>
      <w:pPr>
        <w:pStyle w:val="Heading1"/>
      </w:pPr>
      <w:r>
        <w:t>12. Character handling</w:t>
      </w:r>
    </w:p>
    <w:p>
      <w:pPr>
        <w:pStyle w:val="Heading2"/>
      </w:pPr>
      <w:r>
        <w:t>12.1 Va-Raedin / Ka-Raedin</w:t>
      </w:r>
    </w:p>
    <w:p>
      <w:pPr/>
      <w:r>
        <w:t>He is the person Kailan most wants to impress and later most needs to forgive. Young Kailan hears correction as withholding. Adult Sa-Kylian understands that pacing danger was a form of care. Approval should be scarce and powerful: acceptable, better, not uninterestingly.</w:t>
      </w:r>
    </w:p>
    <w:p>
      <w:pPr>
        <w:pStyle w:val="Heading2"/>
      </w:pPr>
      <w:r>
        <w:t>12.2 Va-Sheva</w:t>
      </w:r>
    </w:p>
    <w:p>
      <w:pPr/>
      <w:r>
        <w:t>Do not narrate her as a simple romance object. Kailan feels attraction, humiliation, longing, and hunger for recognition. Adult Sa-Kylian understands Shield logic: Va-Sheva’s mercy is precision, and even tenderness is contained if tenderness becomes danger.</w:t>
      </w:r>
    </w:p>
    <w:p>
      <w:pPr>
        <w:pStyle w:val="Heading2"/>
      </w:pPr>
      <w:r>
        <w:t>12.3 Ka-Syphiron</w:t>
      </w:r>
    </w:p>
    <w:p>
      <w:pPr/>
      <w:r>
        <w:t>He is warmth under the shadow of office. His informality should be precious because office will consume him. The narration should remember the man so the office does not erase him entirely.</w:t>
      </w:r>
    </w:p>
    <w:p>
      <w:pPr>
        <w:pStyle w:val="Heading1"/>
      </w:pPr>
      <w:r>
        <w:t>13. Passage engines</w:t>
      </w:r>
    </w:p>
    <w:tbl>
      <w:tblPr>
        <w:tblStyle w:val="TableGrid"/>
        <w:tblW w:type="auto" w:w="0"/>
        <w:tblLook w:firstColumn="1" w:firstRow="1" w:lastColumn="0" w:lastRow="0" w:noHBand="0" w:noVBand="1" w:val="04A0"/>
      </w:tblPr>
      <w:tblGrid>
        <w:gridCol w:w="3312"/>
        <w:gridCol w:w="3312"/>
        <w:gridCol w:w="3312"/>
      </w:tblGrid>
      <w:tr>
        <w:tc>
          <w:tcPr>
            <w:tcW w:type="dxa" w:w="2736"/>
          </w:tcPr>
          <w:p>
            <w:r>
              <w:rPr>
                <w:b/>
              </w:rPr>
              <w:t>Engine</w:t>
            </w:r>
          </w:p>
        </w:tc>
        <w:tc>
          <w:tcPr>
            <w:tcW w:type="dxa" w:w="4032"/>
          </w:tcPr>
          <w:p>
            <w:r>
              <w:rPr>
                <w:b/>
              </w:rPr>
              <w:t>Use for</w:t>
            </w:r>
          </w:p>
        </w:tc>
        <w:tc>
          <w:tcPr>
            <w:tcW w:type="dxa" w:w="3888"/>
          </w:tcPr>
          <w:p>
            <w:r>
              <w:rPr>
                <w:b/>
              </w:rPr>
              <w:t>Typical rhythm</w:t>
            </w:r>
          </w:p>
        </w:tc>
      </w:tr>
      <w:tr>
        <w:tc>
          <w:tcPr>
            <w:tcW w:type="dxa" w:w="2736"/>
          </w:tcPr>
          <w:p>
            <w:r>
              <w:t>Bodily immediacy</w:t>
            </w:r>
          </w:p>
        </w:tc>
        <w:tc>
          <w:tcPr>
            <w:tcW w:type="dxa" w:w="4032"/>
          </w:tcPr>
          <w:p>
            <w:r>
              <w:t>Early chapters, embarrassment, fear, hunger, injury.</w:t>
            </w:r>
          </w:p>
        </w:tc>
        <w:tc>
          <w:tcPr>
            <w:tcW w:type="dxa" w:w="3888"/>
          </w:tcPr>
          <w:p>
            <w:r>
              <w:t>My feet hurt before doctrine arrived.</w:t>
            </w:r>
          </w:p>
        </w:tc>
      </w:tr>
      <w:tr>
        <w:tc>
          <w:tcPr>
            <w:tcW w:type="dxa" w:w="2736"/>
          </w:tcPr>
          <w:p>
            <w:r>
              <w:t>Architectural perception</w:t>
            </w:r>
          </w:p>
        </w:tc>
        <w:tc>
          <w:tcPr>
            <w:tcW w:type="dxa" w:w="4032"/>
          </w:tcPr>
          <w:p>
            <w:r>
              <w:t>Halls, chambers, routes, puzzles, Tomb, Horizon estate.</w:t>
            </w:r>
          </w:p>
        </w:tc>
        <w:tc>
          <w:tcPr>
            <w:tcW w:type="dxa" w:w="3888"/>
          </w:tcPr>
          <w:p>
            <w:r>
              <w:t>The room had been built to make one mistake easy and another impossible.</w:t>
            </w:r>
          </w:p>
        </w:tc>
      </w:tr>
      <w:tr>
        <w:tc>
          <w:tcPr>
            <w:tcW w:type="dxa" w:w="2736"/>
          </w:tcPr>
          <w:p>
            <w:r>
              <w:t>Institutional/legal awareness</w:t>
            </w:r>
          </w:p>
        </w:tc>
        <w:tc>
          <w:tcPr>
            <w:tcW w:type="dxa" w:w="4032"/>
          </w:tcPr>
          <w:p>
            <w:r>
              <w:t>Names, Shield procedures, Justice, trial, transfer.</w:t>
            </w:r>
          </w:p>
        </w:tc>
        <w:tc>
          <w:tcPr>
            <w:tcW w:type="dxa" w:w="3888"/>
          </w:tcPr>
          <w:p>
            <w:r>
              <w:t>I thought I had moved rooms. I had moved category.</w:t>
            </w:r>
          </w:p>
        </w:tc>
      </w:tr>
      <w:tr>
        <w:tc>
          <w:tcPr>
            <w:tcW w:type="dxa" w:w="2736"/>
          </w:tcPr>
          <w:p>
            <w:r>
              <w:t>Object-led doctrine</w:t>
            </w:r>
          </w:p>
        </w:tc>
        <w:tc>
          <w:tcPr>
            <w:tcW w:type="dxa" w:w="4032"/>
          </w:tcPr>
          <w:p>
            <w:r>
              <w:t>Lamps, bowls, tokens, chains, cloth, doors.</w:t>
            </w:r>
          </w:p>
        </w:tc>
        <w:tc>
          <w:tcPr>
            <w:tcW w:type="dxa" w:w="3888"/>
          </w:tcPr>
          <w:p>
            <w:r>
              <w:t>The object teaches before anyone explains.</w:t>
            </w:r>
          </w:p>
        </w:tc>
      </w:tr>
      <w:tr>
        <w:tc>
          <w:tcPr>
            <w:tcW w:type="dxa" w:w="2736"/>
          </w:tcPr>
          <w:p>
            <w:r>
              <w:t>Dialogue pressure</w:t>
            </w:r>
          </w:p>
        </w:tc>
        <w:tc>
          <w:tcPr>
            <w:tcW w:type="dxa" w:w="4032"/>
          </w:tcPr>
          <w:p>
            <w:r>
              <w:t>Va-Raedin, Va-Sheva, Ka-Syphiron, Ka-Orun.</w:t>
            </w:r>
          </w:p>
        </w:tc>
        <w:tc>
          <w:tcPr>
            <w:tcW w:type="dxa" w:w="3888"/>
          </w:tcPr>
          <w:p>
            <w:r>
              <w:t>Let dialogue cut; reflect briefly.</w:t>
            </w:r>
          </w:p>
        </w:tc>
      </w:tr>
      <w:tr>
        <w:tc>
          <w:tcPr>
            <w:tcW w:type="dxa" w:w="2736"/>
          </w:tcPr>
          <w:p>
            <w:r>
              <w:t>Liturgical elevation</w:t>
            </w:r>
          </w:p>
        </w:tc>
        <w:tc>
          <w:tcPr>
            <w:tcW w:type="dxa" w:w="4032"/>
          </w:tcPr>
          <w:p>
            <w:r>
              <w:t>Scripture, Ascension, martyrdom, Cataclysm, trial reading.</w:t>
            </w:r>
          </w:p>
        </w:tc>
        <w:tc>
          <w:tcPr>
            <w:tcW w:type="dxa" w:w="3888"/>
          </w:tcPr>
          <w:p>
            <w:r>
              <w:t>Use rarely; do not compete with scripture.</w:t>
            </w:r>
          </w:p>
        </w:tc>
      </w:tr>
    </w:tbl>
    <w:p/>
    <w:p>
      <w:pPr>
        <w:pStyle w:val="Heading1"/>
      </w:pPr>
      <w:r>
        <w:t>14. Formatting and manuscript rules</w:t>
      </w:r>
    </w:p>
    <w:p>
      <w:pPr>
        <w:pStyle w:val="ListBullet"/>
      </w:pPr>
      <w:r>
        <w:t>Preserve scripture exactly. Do not alter scripture unless the user explicitly gives replacement scripture.</w:t>
      </w:r>
    </w:p>
    <w:p>
      <w:pPr>
        <w:pStyle w:val="ListBullet"/>
      </w:pPr>
      <w:r>
        <w:t>Preserve LaTeX structure and \par formatting in manuscript prose unless told otherwise.</w:t>
      </w:r>
    </w:p>
    <w:p>
      <w:pPr>
        <w:pStyle w:val="ListBullet"/>
      </w:pPr>
      <w:r>
        <w:t>Use normal quotation marks for dialogue. Do not convert dialogue into italic unless explicitly asked.</w:t>
      </w:r>
    </w:p>
    <w:p>
      <w:pPr>
        <w:pStyle w:val="ListBullet"/>
      </w:pPr>
      <w:r>
        <w:t>Do not insert explanatory headings into manuscript prose.</w:t>
      </w:r>
    </w:p>
    <w:p>
      <w:pPr>
        <w:pStyle w:val="ListBullet"/>
      </w:pPr>
      <w:r>
        <w:t>For prose rewrite work, prefer 800-1,500 word blocks. Large full-chapter dumps usually reduce quality.</w:t>
      </w:r>
    </w:p>
    <w:p>
      <w:pPr>
        <w:pStyle w:val="ListBullet"/>
      </w:pPr>
      <w:r>
        <w:t>For scene work, first establish the % event sequence, then draft in controlled spans, then smooth transitions.</w:t>
      </w:r>
    </w:p>
    <w:p>
      <w:pPr>
        <w:pStyle w:val="ListBullet"/>
      </w:pPr>
      <w:r>
        <w:t>Do not use GitHub unless the user explicitly asks; when GitHub is used, follow the repo workflow and current source of truth.</w:t>
      </w:r>
    </w:p>
    <w:p>
      <w:pPr>
        <w:pStyle w:val="Heading1"/>
      </w:pPr>
      <w:r>
        <w:t>15. The successful Chapter 1 start: what made it work</w:t>
      </w:r>
    </w:p>
    <w:p>
      <w:pPr/>
      <w:r>
        <w:t>The successful opening worked because it did not begin with lore. It began with body under institution. It made the Hall physical before it made the Hall sacred. It used long oral pressure but anchored each sentence in stone, heat, light, feet, robes, sound, and office. The adult narrator corrected the child’s awe without mocking the child. The prose allowed the Mountain to feel protective and oppressive in the same breath.</w:t>
      </w:r>
    </w:p>
    <w:p>
      <w:pPr/>
      <w:r>
        <w:t>Operational recipe:</w:t>
      </w:r>
    </w:p>
    <w:p>
      <w:pPr>
        <w:ind w:left="360" w:hanging="360"/>
      </w:pPr>
      <w:r>
        <w:t>1.</w:t>
        <w:tab/>
        <w:t>Start with a physical discomfort or sensory fact.</w:t>
      </w:r>
    </w:p>
    <w:p>
      <w:pPr>
        <w:ind w:left="360" w:hanging="360"/>
      </w:pPr>
      <w:r>
        <w:t>2.</w:t>
        <w:tab/>
        <w:t>Let the object reveal the institution: lamp, warmth, robe, floor, pillar, gate, bowl.</w:t>
      </w:r>
    </w:p>
    <w:p>
      <w:pPr>
        <w:ind w:left="360" w:hanging="360"/>
      </w:pPr>
      <w:r>
        <w:t>3.</w:t>
        <w:tab/>
        <w:t>Show young Kailan’s pride, irritation, hunger, or misreading.</w:t>
      </w:r>
    </w:p>
    <w:p>
      <w:pPr>
        <w:ind w:left="360" w:hanging="360"/>
      </w:pPr>
      <w:r>
        <w:t>4.</w:t>
        <w:tab/>
        <w:t>Let adult Sa-Kylian add one controlled structural insight.</w:t>
      </w:r>
    </w:p>
    <w:p>
      <w:pPr>
        <w:ind w:left="360" w:hanging="360"/>
      </w:pPr>
      <w:r>
        <w:t>5.</w:t>
        <w:tab/>
        <w:t>End the macro-phrase with a precise, wounded turn, not a generic aphorism.</w:t>
      </w:r>
    </w:p>
    <w:p>
      <w:pPr>
        <w:pStyle w:val="Heading1"/>
      </w:pPr>
      <w:r>
        <w:t>16. Future-use checklist</w:t>
      </w:r>
    </w:p>
    <w:p>
      <w:pPr/>
      <w:r>
        <w:t>Before producing Homo Noxis prose, check the following:</w:t>
      </w:r>
    </w:p>
    <w:p>
      <w:pPr>
        <w:pStyle w:val="ListBullet"/>
      </w:pPr>
      <w:r>
        <w:t>Whose legal identity is narrating this scene: Kailan, Sa-Kailan, Va-Kailan, or Sa-Kylian remembering?</w:t>
      </w:r>
    </w:p>
    <w:p>
      <w:pPr>
        <w:pStyle w:val="ListBullet"/>
      </w:pPr>
      <w:r>
        <w:t>What does the child know in the moment?</w:t>
      </w:r>
    </w:p>
    <w:p>
      <w:pPr>
        <w:pStyle w:val="ListBullet"/>
      </w:pPr>
      <w:r>
        <w:t>What does the adult know but must not yet reveal?</w:t>
      </w:r>
    </w:p>
    <w:p>
      <w:pPr>
        <w:pStyle w:val="ListBullet"/>
      </w:pPr>
      <w:r>
        <w:t>Which object carries the doctrine?</w:t>
      </w:r>
    </w:p>
    <w:p>
      <w:pPr>
        <w:pStyle w:val="ListBullet"/>
      </w:pPr>
      <w:r>
        <w:t>What is the bodily price of the scene?</w:t>
      </w:r>
    </w:p>
    <w:p>
      <w:pPr>
        <w:pStyle w:val="ListBullet"/>
      </w:pPr>
      <w:r>
        <w:t>What knowledge is being withheld, and by whom?</w:t>
      </w:r>
    </w:p>
    <w:p>
      <w:pPr>
        <w:pStyle w:val="ListBullet"/>
      </w:pPr>
      <w:r>
        <w:t>Has the sentence rhythm become too short, too explanatory, or too abstract?</w:t>
      </w:r>
    </w:p>
    <w:p>
      <w:pPr>
        <w:pStyle w:val="ListBullet"/>
      </w:pPr>
      <w:r>
        <w:t>Does the scene reveal several things at once?</w:t>
      </w:r>
    </w:p>
    <w:p>
      <w:pPr>
        <w:pStyle w:val="ListBullet"/>
      </w:pPr>
      <w:r>
        <w:t>Have scripture, locked terms, and chapter-specific secrets been protected?</w:t>
      </w:r>
    </w:p>
    <w:p>
      <w:pPr>
        <w:pStyle w:val="Heading1"/>
      </w:pPr>
      <w:r>
        <w:t>17. One-page doctrine summary</w:t>
      </w:r>
    </w:p>
    <w:p>
      <w:pPr>
        <w:pStyle w:val="DoctrineBox"/>
      </w:pPr>
      <w:r>
        <w:t>Write as first-person Sa-Kylian testimony: adult precision over childhood bewilderment. Keep Paul as preserver, not chapter narrator. Use long oral macro-phrases averaging roughly 80-105 words in high prose, with short blows for dialogue, shock, and correction. Ground every doctrine in object and body. Let the Mountain’s logic work. Reveal partially. Protect later secrets. Use Switzerland/Horizon only as occasional future pressure until the story reaches it. Never explain what an object can indict. Never make the Mountain stupid. Never make Kailan wise too early. Preserve scripture. Let no one sentence hold the whole.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333333"/>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F1F1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rineBox">
    <w:name w:val="Doctrine Box"/>
    <w:basedOn w:val="Normal"/>
    <w:pPr>
      <w:spacing w:before="120" w:after="120"/>
      <w:ind w:left="360" w:right="360"/>
    </w:pPr>
    <w:rPr>
      <w:i/>
    </w:rPr>
  </w:style>
  <w:style w:type="paragraph" w:customStyle="1" w:styleId="SmallNote">
    <w:name w:val="Small Note"/>
    <w:basedOn w:val="Normal"/>
    <w:rPr>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