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2ACC" w14:textId="58991C8E" w:rsidR="00DF6418" w:rsidRPr="00DF6418" w:rsidRDefault="00DF6418" w:rsidP="00DF6418">
      <w:pPr>
        <w:jc w:val="center"/>
        <w:rPr>
          <w:b/>
          <w:bCs/>
          <w:i/>
          <w:iCs/>
          <w:sz w:val="72"/>
          <w:szCs w:val="72"/>
        </w:rPr>
      </w:pPr>
      <w:r w:rsidRPr="00DF6418">
        <w:rPr>
          <w:sz w:val="72"/>
          <w:szCs w:val="72"/>
        </w:rPr>
        <w:t>C</w:t>
      </w:r>
      <w:r w:rsidRPr="00DF6418">
        <w:rPr>
          <w:b/>
          <w:bCs/>
          <w:i/>
          <w:iCs/>
          <w:sz w:val="72"/>
          <w:szCs w:val="72"/>
        </w:rPr>
        <w:t xml:space="preserve">N </w:t>
      </w:r>
      <w:r w:rsidRPr="00DF6418">
        <w:rPr>
          <w:b/>
          <w:bCs/>
          <w:i/>
          <w:iCs/>
          <w:sz w:val="72"/>
          <w:szCs w:val="72"/>
        </w:rPr>
        <w:t>Assignment 2</w:t>
      </w:r>
    </w:p>
    <w:p w14:paraId="14020686" w14:textId="77777777" w:rsidR="00DF6418" w:rsidRDefault="00DF6418"/>
    <w:p w14:paraId="2388F6AA" w14:textId="77777777" w:rsidR="00DF6418" w:rsidRDefault="00DF6418">
      <w:r w:rsidRPr="00DF6418">
        <w:t xml:space="preserve"> Muhammad Baqar Laghari </w:t>
      </w:r>
    </w:p>
    <w:p w14:paraId="647B2EE2" w14:textId="64C285EA" w:rsidR="00DF6418" w:rsidRDefault="00DF6418">
      <w:r w:rsidRPr="00DF6418">
        <w:t>24K-0006</w:t>
      </w:r>
    </w:p>
    <w:p w14:paraId="0048C636" w14:textId="77777777" w:rsidR="00DF6418" w:rsidRDefault="00DF6418">
      <w:r w:rsidRPr="00DF6418">
        <w:t xml:space="preserve"> BAI-5A </w:t>
      </w:r>
    </w:p>
    <w:p w14:paraId="75BD3932" w14:textId="58BA5B2E" w:rsidR="00DF6418" w:rsidRDefault="00DF6418">
      <w:r w:rsidRPr="00DF6418">
        <w:t xml:space="preserve">Random seed = 6 </w:t>
      </w:r>
    </w:p>
    <w:p w14:paraId="2643C1C7" w14:textId="77777777" w:rsidR="00DF6418" w:rsidRPr="00DF6418" w:rsidRDefault="00DF6418">
      <w:pPr>
        <w:rPr>
          <w:sz w:val="28"/>
          <w:szCs w:val="28"/>
        </w:rPr>
      </w:pPr>
    </w:p>
    <w:p w14:paraId="3B0F9EAB" w14:textId="6146D83E" w:rsidR="00DF6418" w:rsidRPr="00DF6418" w:rsidRDefault="00DF6418" w:rsidP="00DF6418">
      <w:pPr>
        <w:rPr>
          <w:b/>
          <w:bCs/>
          <w:i/>
          <w:iCs/>
          <w:sz w:val="36"/>
          <w:szCs w:val="36"/>
        </w:rPr>
      </w:pPr>
      <w:r w:rsidRPr="00DF6418">
        <w:rPr>
          <w:b/>
          <w:bCs/>
          <w:i/>
          <w:iCs/>
          <w:sz w:val="36"/>
          <w:szCs w:val="36"/>
        </w:rPr>
        <w:t xml:space="preserve">Approach and assumptions </w:t>
      </w:r>
    </w:p>
    <w:p w14:paraId="5C5BE28E" w14:textId="77777777" w:rsidR="00DF6418" w:rsidRDefault="00DF6418" w:rsidP="00DF6418">
      <w:r w:rsidRPr="00DF6418">
        <w:t xml:space="preserve">Both protocols are built on </w:t>
      </w:r>
      <w:proofErr w:type="spellStart"/>
      <w:r w:rsidRPr="00DF6418">
        <w:t>rdt</w:t>
      </w:r>
      <w:proofErr w:type="spellEnd"/>
      <w:r w:rsidRPr="00DF6418">
        <w:t xml:space="preserve"> 3.0 (checksum, sequence numbers, </w:t>
      </w:r>
      <w:proofErr w:type="spellStart"/>
      <w:r w:rsidRPr="00DF6418">
        <w:t>ACKs</w:t>
      </w:r>
      <w:proofErr w:type="spellEnd"/>
      <w:r w:rsidRPr="00DF6418">
        <w:t xml:space="preserve">, timeout/retransmission) and extended with pipelining. The sender, receiver and an unreliable channel run inside one discrete-event simulator (a time-ordered event queue), so loss, corruption and delay are reproducible for a given seed. Assumptions: 2 Mbps link, 1000-byte packets (4 </w:t>
      </w:r>
      <w:proofErr w:type="spellStart"/>
      <w:r w:rsidRPr="00DF6418">
        <w:t>ms</w:t>
      </w:r>
      <w:proofErr w:type="spellEnd"/>
      <w:r w:rsidRPr="00DF6418">
        <w:t xml:space="preserve"> transmission time), one-way propagation 250 </w:t>
      </w:r>
      <w:proofErr w:type="spellStart"/>
      <w:r w:rsidRPr="00DF6418">
        <w:t>ms</w:t>
      </w:r>
      <w:proofErr w:type="spellEnd"/>
      <w:r w:rsidRPr="00DF6418">
        <w:t xml:space="preserve"> (RTT 500 </w:t>
      </w:r>
      <w:proofErr w:type="spellStart"/>
      <w:r w:rsidRPr="00DF6418">
        <w:t>ms</w:t>
      </w:r>
      <w:proofErr w:type="spellEnd"/>
      <w:r w:rsidRPr="00DF6418">
        <w:t xml:space="preserve">); a delayed packet gets an extra 0.05 to 0.30 s; timeout 1.2 s (above the maximum RTT of 2 x 0.55 s + 4 </w:t>
      </w:r>
      <w:proofErr w:type="spellStart"/>
      <w:r w:rsidRPr="00DF6418">
        <w:t>ms</w:t>
      </w:r>
      <w:proofErr w:type="spellEnd"/>
      <w:r w:rsidRPr="00DF6418">
        <w:t xml:space="preserve"> = 1.104 s, so delay alone never causes a spurious timeout); data flows one way only; sequence numbers are k = 3 bits (modulo 8) and N = 4, which satisfies N &lt;= 2k-1 for GBN and N &lt;= 2k-1 for SR. Loss, corruption and delay apply independently to every data packet and every ACK. Throughput = delivered x 8000 bits / completion time. </w:t>
      </w:r>
    </w:p>
    <w:p w14:paraId="523694DF" w14:textId="19DB0060" w:rsidR="00DF6418" w:rsidRPr="00DF6418" w:rsidRDefault="00DF6418" w:rsidP="00DF6418">
      <w:pPr>
        <w:rPr>
          <w:i/>
          <w:iCs/>
          <w:sz w:val="28"/>
          <w:szCs w:val="28"/>
        </w:rPr>
      </w:pPr>
      <w:r w:rsidRPr="00DF6418">
        <w:rPr>
          <w:b/>
          <w:bCs/>
          <w:i/>
          <w:iCs/>
          <w:sz w:val="36"/>
          <w:szCs w:val="36"/>
        </w:rPr>
        <w:t>Implementation</w:t>
      </w:r>
      <w:r w:rsidRPr="00DF6418">
        <w:rPr>
          <w:i/>
          <w:iCs/>
          <w:sz w:val="28"/>
          <w:szCs w:val="28"/>
        </w:rPr>
        <w:t xml:space="preserve"> </w:t>
      </w:r>
    </w:p>
    <w:p w14:paraId="0C53640F" w14:textId="77777777" w:rsidR="00DF6418" w:rsidRPr="00DF6418" w:rsidRDefault="00DF6418" w:rsidP="00DF6418">
      <w:pPr>
        <w:rPr>
          <w:b/>
          <w:bCs/>
        </w:rPr>
      </w:pPr>
      <w:r w:rsidRPr="00DF6418">
        <w:rPr>
          <w:b/>
          <w:bCs/>
          <w:sz w:val="28"/>
          <w:szCs w:val="28"/>
        </w:rPr>
        <w:t>Channel and checksum.</w:t>
      </w:r>
    </w:p>
    <w:p w14:paraId="750E6D87" w14:textId="77777777" w:rsidR="00DF6418" w:rsidRDefault="00DF6418" w:rsidP="00DF6418">
      <w:r w:rsidRPr="00DF6418">
        <w:t xml:space="preserve">A packet is lost with probability p </w:t>
      </w:r>
      <w:proofErr w:type="gramStart"/>
      <w:r w:rsidRPr="00DF6418">
        <w:t>loss ;</w:t>
      </w:r>
      <w:proofErr w:type="gramEnd"/>
      <w:r w:rsidRPr="00DF6418">
        <w:t xml:space="preserve"> </w:t>
      </w:r>
      <w:proofErr w:type="gramStart"/>
      <w:r w:rsidRPr="00DF6418">
        <w:t>otherwise</w:t>
      </w:r>
      <w:proofErr w:type="gramEnd"/>
      <w:r w:rsidRPr="00DF6418">
        <w:t xml:space="preserve"> it may be corrupted (a payload byte is flipped, or the ACK number is altered) and may be delayed. Each packet carries a 16-bit checksum over the sequence/ACK field and payload; the receiver (or sender, for </w:t>
      </w:r>
      <w:proofErr w:type="spellStart"/>
      <w:r w:rsidRPr="00DF6418">
        <w:t>ACKs</w:t>
      </w:r>
      <w:proofErr w:type="spellEnd"/>
      <w:r w:rsidRPr="00DF6418">
        <w:t xml:space="preserve">) recomputes it and discards mismatches. Every send, receive, ACK, loss, corruption, timeout and retransmission is printed as a log line. </w:t>
      </w:r>
    </w:p>
    <w:p w14:paraId="46753512" w14:textId="77777777" w:rsidR="00DF6418" w:rsidRPr="00DF6418" w:rsidRDefault="00DF6418" w:rsidP="00DF6418">
      <w:pPr>
        <w:rPr>
          <w:b/>
          <w:bCs/>
          <w:sz w:val="28"/>
          <w:szCs w:val="28"/>
        </w:rPr>
      </w:pPr>
      <w:r w:rsidRPr="00DF6418">
        <w:rPr>
          <w:b/>
          <w:bCs/>
          <w:sz w:val="28"/>
          <w:szCs w:val="28"/>
        </w:rPr>
        <w:t xml:space="preserve">GBN. </w:t>
      </w:r>
    </w:p>
    <w:p w14:paraId="262C1755" w14:textId="77777777" w:rsidR="00DF6418" w:rsidRDefault="00DF6418" w:rsidP="00DF6418">
      <w:r w:rsidRPr="00DF6418">
        <w:t xml:space="preserve">Sender window is [base, base+N-1] with base = oldest </w:t>
      </w:r>
      <w:proofErr w:type="spellStart"/>
      <w:r w:rsidRPr="00DF6418">
        <w:t>unACKed</w:t>
      </w:r>
      <w:proofErr w:type="spellEnd"/>
      <w:r w:rsidRPr="00DF6418">
        <w:t xml:space="preserve"> packet and </w:t>
      </w:r>
      <w:proofErr w:type="spellStart"/>
      <w:r w:rsidRPr="00DF6418">
        <w:t>nextseqnum</w:t>
      </w:r>
      <w:proofErr w:type="spellEnd"/>
      <w:r w:rsidRPr="00DF6418">
        <w:t xml:space="preserve"> = next packet to send. </w:t>
      </w:r>
      <w:proofErr w:type="spellStart"/>
      <w:r w:rsidRPr="00DF6418">
        <w:t>ACKs</w:t>
      </w:r>
      <w:proofErr w:type="spellEnd"/>
      <w:r w:rsidRPr="00DF6418">
        <w:t xml:space="preserve"> are cumulative: ACK(n) means every packet up to n arrived, so base moves to n+1. One timer runs for the oldest </w:t>
      </w:r>
      <w:proofErr w:type="spellStart"/>
      <w:r w:rsidRPr="00DF6418">
        <w:t>unACKed</w:t>
      </w:r>
      <w:proofErr w:type="spellEnd"/>
      <w:r w:rsidRPr="00DF6418">
        <w:t xml:space="preserve"> packet (restarted when base advances, stopped when base = </w:t>
      </w:r>
      <w:proofErr w:type="spellStart"/>
      <w:r w:rsidRPr="00DF6418">
        <w:t>nextseqnum</w:t>
      </w:r>
      <w:proofErr w:type="spellEnd"/>
      <w:r w:rsidRPr="00DF6418">
        <w:t xml:space="preserve">). On timeout all </w:t>
      </w:r>
      <w:r w:rsidRPr="00DF6418">
        <w:lastRenderedPageBreak/>
        <w:t xml:space="preserve">packets from base to nextseqnum-1 are resent. The receiver keeps only </w:t>
      </w:r>
      <w:proofErr w:type="spellStart"/>
      <w:r w:rsidRPr="00DF6418">
        <w:t>expectedseqnum</w:t>
      </w:r>
      <w:proofErr w:type="spellEnd"/>
      <w:r w:rsidRPr="00DF6418">
        <w:t xml:space="preserve">: an in-order packet is delivered and </w:t>
      </w:r>
      <w:proofErr w:type="spellStart"/>
      <w:r w:rsidRPr="00DF6418">
        <w:t>ACKed</w:t>
      </w:r>
      <w:proofErr w:type="spellEnd"/>
      <w:r w:rsidRPr="00DF6418">
        <w:t xml:space="preserve">; anything else (out-of-order or corrupt) is discarded and the ACK of the last in-order packet is repeated. </w:t>
      </w:r>
    </w:p>
    <w:p w14:paraId="69FE434E" w14:textId="77777777" w:rsidR="00DF6418" w:rsidRPr="00DF6418" w:rsidRDefault="00DF6418" w:rsidP="00DF6418">
      <w:pPr>
        <w:rPr>
          <w:b/>
          <w:bCs/>
          <w:sz w:val="28"/>
          <w:szCs w:val="28"/>
        </w:rPr>
      </w:pPr>
      <w:r w:rsidRPr="00DF6418">
        <w:rPr>
          <w:b/>
          <w:bCs/>
          <w:sz w:val="28"/>
          <w:szCs w:val="28"/>
        </w:rPr>
        <w:t xml:space="preserve">SR. </w:t>
      </w:r>
    </w:p>
    <w:p w14:paraId="246A5F37" w14:textId="0487D4E0" w:rsidR="00DF6418" w:rsidRDefault="00DF6418" w:rsidP="00DF6418">
      <w:r w:rsidRPr="00DF6418">
        <w:t xml:space="preserve">Both sender and receiver have a window of size N. The sender keeps a timer per packet and marks each packet when its individual ACK arrives; base slides forward over the acknowledged prefix. The receiver window starts at </w:t>
      </w:r>
      <w:proofErr w:type="spellStart"/>
      <w:r w:rsidRPr="00DF6418">
        <w:t>rcv_base</w:t>
      </w:r>
      <w:proofErr w:type="spellEnd"/>
      <w:r w:rsidRPr="00DF6418">
        <w:t>: any packet inside [</w:t>
      </w:r>
      <w:proofErr w:type="spellStart"/>
      <w:r w:rsidRPr="00DF6418">
        <w:t>rcv_base</w:t>
      </w:r>
      <w:proofErr w:type="spellEnd"/>
      <w:r w:rsidRPr="00DF6418">
        <w:t xml:space="preserve">, rcv_base+N-1] is buffered and individually </w:t>
      </w:r>
      <w:proofErr w:type="spellStart"/>
      <w:r w:rsidRPr="00DF6418">
        <w:t>ACKed</w:t>
      </w:r>
      <w:proofErr w:type="spellEnd"/>
      <w:r w:rsidRPr="00DF6418">
        <w:t xml:space="preserve">, and when </w:t>
      </w:r>
      <w:proofErr w:type="spellStart"/>
      <w:r w:rsidRPr="00DF6418">
        <w:t>rcv_base</w:t>
      </w:r>
      <w:proofErr w:type="spellEnd"/>
      <w:r w:rsidRPr="00DF6418">
        <w:t xml:space="preserve"> arrives the buffered run is delivered in order. A packet from [</w:t>
      </w:r>
      <w:proofErr w:type="spellStart"/>
      <w:r w:rsidRPr="00DF6418">
        <w:t>rcv_base</w:t>
      </w:r>
      <w:proofErr w:type="spellEnd"/>
      <w:r w:rsidRPr="00DF6418">
        <w:t>-N, rcv_base-1] is a duplicate and is re-</w:t>
      </w:r>
      <w:proofErr w:type="spellStart"/>
      <w:r w:rsidRPr="00DF6418">
        <w:t>ACKed</w:t>
      </w:r>
      <w:proofErr w:type="spellEnd"/>
      <w:r w:rsidRPr="00DF6418">
        <w:t xml:space="preserve"> (its earlier ACK was lost). On timeout only that packet is resent.</w:t>
      </w:r>
    </w:p>
    <w:p w14:paraId="06901622" w14:textId="77777777" w:rsidR="00DF6418" w:rsidRDefault="00DF6418" w:rsidP="00DF6418"/>
    <w:p w14:paraId="10AD2312" w14:textId="77777777" w:rsidR="00DF6418" w:rsidRDefault="00DF6418" w:rsidP="00DF6418">
      <w:r w:rsidRPr="00DF6418">
        <w:rPr>
          <w:b/>
          <w:bCs/>
          <w:i/>
          <w:iCs/>
          <w:sz w:val="36"/>
          <w:szCs w:val="36"/>
        </w:rPr>
        <w:t>Experiments</w:t>
      </w:r>
      <w:r w:rsidRPr="00DF6418">
        <w:t xml:space="preserve"> </w:t>
      </w:r>
    </w:p>
    <w:p w14:paraId="68E349E6" w14:textId="77777777" w:rsidR="00DF6418" w:rsidRDefault="00DF6418" w:rsidP="00DF6418">
      <w:r w:rsidRPr="00DF6418">
        <w:t>task4.py runs both protocols with 200 packets, N = 4, k = 3, seed = 6 under: A. reliable channel; B. loss 0.10; C. mixed (loss 0.05, corruption 0.05, delay 0.10). Every run is checked for 200/200 delivery with correct payloads. As supplementary evidence each setting is also averaged over 30 seeds (6 to 35).</w:t>
      </w:r>
    </w:p>
    <w:p w14:paraId="25689048" w14:textId="77777777" w:rsidR="00DF6418" w:rsidRDefault="00DF6418" w:rsidP="00DF6418"/>
    <w:p w14:paraId="7E304999" w14:textId="77777777" w:rsidR="00DF6418" w:rsidRDefault="00DF6418" w:rsidP="00DF6418">
      <w:pPr>
        <w:rPr>
          <w:b/>
          <w:bCs/>
          <w:i/>
          <w:iCs/>
          <w:sz w:val="36"/>
          <w:szCs w:val="36"/>
        </w:rPr>
      </w:pPr>
      <w:r w:rsidRPr="00DF6418">
        <w:rPr>
          <w:b/>
          <w:bCs/>
          <w:i/>
          <w:iCs/>
          <w:sz w:val="36"/>
          <w:szCs w:val="36"/>
        </w:rPr>
        <w:t>Results</w:t>
      </w:r>
    </w:p>
    <w:p w14:paraId="5CD48B81" w14:textId="77777777" w:rsidR="00DF6418" w:rsidRDefault="00DF6418" w:rsidP="00DF6418">
      <w:pPr>
        <w:rPr>
          <w:b/>
          <w:bCs/>
          <w:i/>
          <w:iCs/>
          <w:sz w:val="36"/>
          <w:szCs w:val="36"/>
        </w:rPr>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0" w:type="dxa"/>
          <w:bottom w:w="50" w:type="dxa"/>
          <w:right w:w="60" w:type="dxa"/>
        </w:tblCellMar>
        <w:tblLook w:val="0000" w:firstRow="0" w:lastRow="0" w:firstColumn="0" w:lastColumn="0" w:noHBand="1" w:noVBand="1"/>
      </w:tblPr>
      <w:tblGrid>
        <w:gridCol w:w="1250"/>
        <w:gridCol w:w="1060"/>
        <w:gridCol w:w="1360"/>
        <w:gridCol w:w="1060"/>
        <w:gridCol w:w="1160"/>
        <w:gridCol w:w="740"/>
        <w:gridCol w:w="1420"/>
        <w:gridCol w:w="976"/>
      </w:tblGrid>
      <w:tr>
        <w:tc>
          <w:tcPr>
            <w:tcW w:w="1250" w:type="dxa"/>
            <w:shd w:val="clear" w:color="auto" w:fill="FFFFFF"/>
            <w:vAlign w:val="center"/>
          </w:tcPr>
          <w:p>
            <w:pPr>
              <w:spacing w:before="0" w:after="0" w:line="240" w:lineRule="auto"/>
              <w:jc w:val="left"/>
            </w:pPr>
            <w:r>
              <w:rPr>
                <w:b/>
                <w:bCs/>
                <w:color w:val="000000"/>
                <w:sz w:val="18"/>
                <w:szCs w:val="18"/>
              </w:rPr>
              <w:t>Scenario</w:t>
            </w:r>
          </w:p>
        </w:tc>
        <w:tc>
          <w:tcPr>
            <w:tcW w:w="1060" w:type="dxa"/>
            <w:shd w:val="clear" w:color="auto" w:fill="FFFFFF"/>
            <w:vAlign w:val="center"/>
          </w:tcPr>
          <w:p>
            <w:pPr>
              <w:spacing w:before="0" w:after="0" w:line="240" w:lineRule="auto"/>
              <w:jc w:val="center"/>
            </w:pPr>
            <w:r>
              <w:rPr>
                <w:b/>
                <w:bCs/>
                <w:color w:val="000000"/>
                <w:sz w:val="18"/>
                <w:szCs w:val="18"/>
              </w:rPr>
              <w:t>Protocol</w:t>
            </w:r>
          </w:p>
        </w:tc>
        <w:tc>
          <w:tcPr>
            <w:tcW w:w="1360" w:type="dxa"/>
            <w:shd w:val="clear" w:color="auto" w:fill="FFFFFF"/>
            <w:vAlign w:val="center"/>
          </w:tcPr>
          <w:p>
            <w:pPr>
              <w:spacing w:before="0" w:after="0" w:line="240" w:lineRule="auto"/>
              <w:jc w:val="center"/>
            </w:pPr>
            <w:r>
              <w:rPr>
                <w:b/>
                <w:bCs/>
                <w:color w:val="000000"/>
                <w:sz w:val="18"/>
                <w:szCs w:val="18"/>
              </w:rPr>
              <w:t>Transmitted</w:t>
            </w:r>
          </w:p>
        </w:tc>
        <w:tc>
          <w:tcPr>
            <w:tcW w:w="1060" w:type="dxa"/>
            <w:shd w:val="clear" w:color="auto" w:fill="FFFFFF"/>
            <w:vAlign w:val="center"/>
          </w:tcPr>
          <w:p>
            <w:pPr>
              <w:spacing w:before="0" w:after="0" w:line="240" w:lineRule="auto"/>
              <w:jc w:val="center"/>
            </w:pPr>
            <w:r>
              <w:rPr>
                <w:b/>
                <w:bCs/>
                <w:color w:val="000000"/>
                <w:sz w:val="18"/>
                <w:szCs w:val="18"/>
              </w:rPr>
              <w:t>Retrans.</w:t>
            </w:r>
          </w:p>
        </w:tc>
        <w:tc>
          <w:tcPr>
            <w:tcW w:w="1160" w:type="dxa"/>
            <w:shd w:val="clear" w:color="auto" w:fill="FFFFFF"/>
            <w:vAlign w:val="center"/>
          </w:tcPr>
          <w:p>
            <w:pPr>
              <w:spacing w:before="0" w:after="0" w:line="240" w:lineRule="auto"/>
              <w:jc w:val="center"/>
            </w:pPr>
            <w:r>
              <w:rPr>
                <w:b/>
                <w:bCs/>
                <w:color w:val="000000"/>
                <w:sz w:val="18"/>
                <w:szCs w:val="18"/>
              </w:rPr>
              <w:t>Delivered</w:t>
            </w:r>
          </w:p>
        </w:tc>
        <w:tc>
          <w:tcPr>
            <w:tcW w:w="740" w:type="dxa"/>
            <w:shd w:val="clear" w:color="auto" w:fill="FFFFFF"/>
            <w:vAlign w:val="center"/>
          </w:tcPr>
          <w:p>
            <w:pPr>
              <w:spacing w:before="0" w:after="0" w:line="240" w:lineRule="auto"/>
              <w:jc w:val="center"/>
            </w:pPr>
            <w:r>
              <w:rPr>
                <w:b/>
                <w:bCs/>
                <w:color w:val="000000"/>
                <w:sz w:val="18"/>
                <w:szCs w:val="18"/>
              </w:rPr>
              <w:t>Time (s)</w:t>
            </w:r>
          </w:p>
        </w:tc>
        <w:tc>
          <w:tcPr>
            <w:tcW w:w="1420" w:type="dxa"/>
            <w:shd w:val="clear" w:color="auto" w:fill="FFFFFF"/>
            <w:vAlign w:val="center"/>
          </w:tcPr>
          <w:p>
            <w:pPr>
              <w:spacing w:before="0" w:after="0" w:line="240" w:lineRule="auto"/>
              <w:jc w:val="center"/>
            </w:pPr>
            <w:r>
              <w:rPr>
                <w:b/>
                <w:bCs/>
                <w:color w:val="000000"/>
                <w:sz w:val="18"/>
                <w:szCs w:val="18"/>
              </w:rPr>
              <w:t>Throughput (kbps)</w:t>
            </w:r>
          </w:p>
        </w:tc>
        <w:tc>
          <w:tcPr>
            <w:tcW w:w="976" w:type="dxa"/>
            <w:shd w:val="clear" w:color="auto" w:fill="FFFFFF"/>
            <w:vAlign w:val="center"/>
          </w:tcPr>
          <w:p>
            <w:pPr>
              <w:spacing w:before="0" w:after="0" w:line="240" w:lineRule="auto"/>
              <w:jc w:val="center"/>
            </w:pPr>
            <w:r>
              <w:rPr>
                <w:b/>
                <w:bCs/>
                <w:color w:val="000000"/>
                <w:sz w:val="18"/>
                <w:szCs w:val="18"/>
              </w:rPr>
              <w:t>Exec. (ms)</w:t>
            </w:r>
          </w:p>
        </w:tc>
      </w:tr>
      <w:tr>
        <w:tc>
          <w:tcPr>
            <w:tcW w:w="1250" w:type="dxa"/>
            <w:shd w:val="clear" w:color="auto" w:fill="FFFFFF"/>
            <w:vAlign w:val="center"/>
          </w:tcPr>
          <w:p>
            <w:pPr>
              <w:spacing w:before="0" w:after="0" w:line="240" w:lineRule="auto"/>
              <w:jc w:val="left"/>
            </w:pPr>
            <w:r>
              <w:rPr>
                <w:color w:val="000000"/>
                <w:sz w:val="18"/>
                <w:szCs w:val="18"/>
              </w:rPr>
              <w:t>A: Reliable</w:t>
            </w:r>
          </w:p>
        </w:tc>
        <w:tc>
          <w:tcPr>
            <w:tcW w:w="1060" w:type="dxa"/>
            <w:shd w:val="clear" w:color="auto" w:fill="FFFFFF"/>
            <w:vAlign w:val="center"/>
          </w:tcPr>
          <w:p>
            <w:pPr>
              <w:spacing w:before="0" w:after="0" w:line="240" w:lineRule="auto"/>
              <w:jc w:val="center"/>
            </w:pPr>
            <w:r>
              <w:rPr>
                <w:color w:val="000000"/>
                <w:sz w:val="18"/>
                <w:szCs w:val="18"/>
              </w:rPr>
              <w:t>GBN</w:t>
            </w:r>
          </w:p>
        </w:tc>
        <w:tc>
          <w:tcPr>
            <w:tcW w:w="1360" w:type="dxa"/>
            <w:shd w:val="clear" w:color="auto" w:fill="FFFFFF"/>
            <w:vAlign w:val="center"/>
          </w:tcPr>
          <w:p>
            <w:pPr>
              <w:spacing w:before="0" w:after="0" w:line="240" w:lineRule="auto"/>
              <w:jc w:val="center"/>
            </w:pPr>
            <w:r>
              <w:rPr>
                <w:color w:val="000000"/>
                <w:sz w:val="18"/>
                <w:szCs w:val="18"/>
              </w:rPr>
              <w:t>200</w:t>
            </w:r>
          </w:p>
        </w:tc>
        <w:tc>
          <w:tcPr>
            <w:tcW w:w="1060" w:type="dxa"/>
            <w:shd w:val="clear" w:color="auto" w:fill="FFFFFF"/>
            <w:vAlign w:val="center"/>
          </w:tcPr>
          <w:p>
            <w:pPr>
              <w:spacing w:before="0" w:after="0" w:line="240" w:lineRule="auto"/>
              <w:jc w:val="center"/>
            </w:pPr>
            <w:r>
              <w:rPr>
                <w:color w:val="000000"/>
                <w:sz w:val="18"/>
                <w:szCs w:val="18"/>
              </w:rPr>
              <w:t>0</w:t>
            </w:r>
          </w:p>
        </w:tc>
        <w:tc>
          <w:tcPr>
            <w:tcW w:w="1160" w:type="dxa"/>
            <w:shd w:val="clear" w:color="auto" w:fill="FFFFFF"/>
            <w:vAlign w:val="center"/>
          </w:tcPr>
          <w:p>
            <w:pPr>
              <w:spacing w:before="0" w:after="0" w:line="240" w:lineRule="auto"/>
              <w:jc w:val="center"/>
            </w:pPr>
            <w:r>
              <w:rPr>
                <w:color w:val="000000"/>
                <w:sz w:val="18"/>
                <w:szCs w:val="18"/>
              </w:rPr>
              <w:t>200/200</w:t>
            </w:r>
          </w:p>
        </w:tc>
        <w:tc>
          <w:tcPr>
            <w:tcW w:w="740" w:type="dxa"/>
            <w:shd w:val="clear" w:color="auto" w:fill="FFFFFF"/>
            <w:vAlign w:val="center"/>
          </w:tcPr>
          <w:p>
            <w:pPr>
              <w:spacing w:before="0" w:after="0" w:line="240" w:lineRule="auto"/>
              <w:jc w:val="center"/>
            </w:pPr>
            <w:r>
              <w:rPr>
                <w:color w:val="000000"/>
                <w:sz w:val="18"/>
                <w:szCs w:val="18"/>
              </w:rPr>
              <w:t>25.21</w:t>
            </w:r>
          </w:p>
        </w:tc>
        <w:tc>
          <w:tcPr>
            <w:tcW w:w="1420" w:type="dxa"/>
            <w:shd w:val="clear" w:color="auto" w:fill="FFFFFF"/>
            <w:vAlign w:val="center"/>
          </w:tcPr>
          <w:p>
            <w:pPr>
              <w:spacing w:before="0" w:after="0" w:line="240" w:lineRule="auto"/>
              <w:jc w:val="center"/>
            </w:pPr>
            <w:r>
              <w:rPr>
                <w:color w:val="000000"/>
                <w:sz w:val="18"/>
                <w:szCs w:val="18"/>
              </w:rPr>
              <w:t>63.5</w:t>
            </w:r>
          </w:p>
        </w:tc>
        <w:tc>
          <w:tcPr>
            <w:tcW w:w="976" w:type="dxa"/>
            <w:shd w:val="clear" w:color="auto" w:fill="FFFFFF"/>
            <w:vAlign w:val="center"/>
          </w:tcPr>
          <w:p>
            <w:pPr>
              <w:spacing w:before="0" w:after="0" w:line="240" w:lineRule="auto"/>
              <w:jc w:val="center"/>
            </w:pPr>
            <w:r>
              <w:rPr>
                <w:color w:val="000000"/>
                <w:sz w:val="18"/>
                <w:szCs w:val="18"/>
              </w:rPr>
              <w:t>1.2</w:t>
            </w:r>
          </w:p>
        </w:tc>
      </w:tr>
      <w:tr>
        <w:tc>
          <w:tcPr>
            <w:tcW w:w="1250" w:type="dxa"/>
            <w:shd w:val="clear" w:color="auto" w:fill="FFFFFF"/>
            <w:vAlign w:val="center"/>
          </w:tcPr>
          <w:p>
            <w:pPr>
              <w:spacing w:before="0" w:after="0" w:line="240" w:lineRule="auto"/>
              <w:jc w:val="left"/>
            </w:pPr>
            <w:r>
              <w:rPr>
                <w:color w:val="000000"/>
                <w:sz w:val="18"/>
                <w:szCs w:val="18"/>
              </w:rPr>
              <w:t>A: Reliable</w:t>
            </w:r>
          </w:p>
        </w:tc>
        <w:tc>
          <w:tcPr>
            <w:tcW w:w="1060" w:type="dxa"/>
            <w:shd w:val="clear" w:color="auto" w:fill="FFFFFF"/>
            <w:vAlign w:val="center"/>
          </w:tcPr>
          <w:p>
            <w:pPr>
              <w:spacing w:before="0" w:after="0" w:line="240" w:lineRule="auto"/>
              <w:jc w:val="center"/>
            </w:pPr>
            <w:r>
              <w:rPr>
                <w:color w:val="000000"/>
                <w:sz w:val="18"/>
                <w:szCs w:val="18"/>
              </w:rPr>
              <w:t>SR</w:t>
            </w:r>
          </w:p>
        </w:tc>
        <w:tc>
          <w:tcPr>
            <w:tcW w:w="1360" w:type="dxa"/>
            <w:shd w:val="clear" w:color="auto" w:fill="FFFFFF"/>
            <w:vAlign w:val="center"/>
          </w:tcPr>
          <w:p>
            <w:pPr>
              <w:spacing w:before="0" w:after="0" w:line="240" w:lineRule="auto"/>
              <w:jc w:val="center"/>
            </w:pPr>
            <w:r>
              <w:rPr>
                <w:color w:val="000000"/>
                <w:sz w:val="18"/>
                <w:szCs w:val="18"/>
              </w:rPr>
              <w:t>200</w:t>
            </w:r>
          </w:p>
        </w:tc>
        <w:tc>
          <w:tcPr>
            <w:tcW w:w="1060" w:type="dxa"/>
            <w:shd w:val="clear" w:color="auto" w:fill="FFFFFF"/>
            <w:vAlign w:val="center"/>
          </w:tcPr>
          <w:p>
            <w:pPr>
              <w:spacing w:before="0" w:after="0" w:line="240" w:lineRule="auto"/>
              <w:jc w:val="center"/>
            </w:pPr>
            <w:r>
              <w:rPr>
                <w:color w:val="000000"/>
                <w:sz w:val="18"/>
                <w:szCs w:val="18"/>
              </w:rPr>
              <w:t>0</w:t>
            </w:r>
          </w:p>
        </w:tc>
        <w:tc>
          <w:tcPr>
            <w:tcW w:w="1160" w:type="dxa"/>
            <w:shd w:val="clear" w:color="auto" w:fill="FFFFFF"/>
            <w:vAlign w:val="center"/>
          </w:tcPr>
          <w:p>
            <w:pPr>
              <w:spacing w:before="0" w:after="0" w:line="240" w:lineRule="auto"/>
              <w:jc w:val="center"/>
            </w:pPr>
            <w:r>
              <w:rPr>
                <w:color w:val="000000"/>
                <w:sz w:val="18"/>
                <w:szCs w:val="18"/>
              </w:rPr>
              <w:t>200/200</w:t>
            </w:r>
          </w:p>
        </w:tc>
        <w:tc>
          <w:tcPr>
            <w:tcW w:w="740" w:type="dxa"/>
            <w:shd w:val="clear" w:color="auto" w:fill="FFFFFF"/>
            <w:vAlign w:val="center"/>
          </w:tcPr>
          <w:p>
            <w:pPr>
              <w:spacing w:before="0" w:after="0" w:line="240" w:lineRule="auto"/>
              <w:jc w:val="center"/>
            </w:pPr>
            <w:r>
              <w:rPr>
                <w:color w:val="000000"/>
                <w:sz w:val="18"/>
                <w:szCs w:val="18"/>
              </w:rPr>
              <w:t>25.21</w:t>
            </w:r>
          </w:p>
        </w:tc>
        <w:tc>
          <w:tcPr>
            <w:tcW w:w="1420" w:type="dxa"/>
            <w:shd w:val="clear" w:color="auto" w:fill="FFFFFF"/>
            <w:vAlign w:val="center"/>
          </w:tcPr>
          <w:p>
            <w:pPr>
              <w:spacing w:before="0" w:after="0" w:line="240" w:lineRule="auto"/>
              <w:jc w:val="center"/>
            </w:pPr>
            <w:r>
              <w:rPr>
                <w:color w:val="000000"/>
                <w:sz w:val="18"/>
                <w:szCs w:val="18"/>
              </w:rPr>
              <w:t>63.5</w:t>
            </w:r>
          </w:p>
        </w:tc>
        <w:tc>
          <w:tcPr>
            <w:tcW w:w="976" w:type="dxa"/>
            <w:shd w:val="clear" w:color="auto" w:fill="FFFFFF"/>
            <w:vAlign w:val="center"/>
          </w:tcPr>
          <w:p>
            <w:pPr>
              <w:spacing w:before="0" w:after="0" w:line="240" w:lineRule="auto"/>
              <w:jc w:val="center"/>
            </w:pPr>
            <w:r>
              <w:rPr>
                <w:color w:val="000000"/>
                <w:sz w:val="18"/>
                <w:szCs w:val="18"/>
              </w:rPr>
              <w:t>1.3</w:t>
            </w:r>
          </w:p>
        </w:tc>
      </w:tr>
      <w:tr>
        <w:tc>
          <w:tcPr>
            <w:tcW w:w="1250" w:type="dxa"/>
            <w:shd w:val="clear" w:color="auto" w:fill="FFFFFF"/>
            <w:vAlign w:val="center"/>
          </w:tcPr>
          <w:p>
            <w:pPr>
              <w:spacing w:before="0" w:after="0" w:line="240" w:lineRule="auto"/>
              <w:jc w:val="left"/>
            </w:pPr>
            <w:r>
              <w:rPr>
                <w:color w:val="000000"/>
                <w:sz w:val="18"/>
                <w:szCs w:val="18"/>
              </w:rPr>
              <w:t>B: Loss 0.10</w:t>
            </w:r>
          </w:p>
        </w:tc>
        <w:tc>
          <w:tcPr>
            <w:tcW w:w="1060" w:type="dxa"/>
            <w:shd w:val="clear" w:color="auto" w:fill="FFFFFF"/>
            <w:vAlign w:val="center"/>
          </w:tcPr>
          <w:p>
            <w:pPr>
              <w:spacing w:before="0" w:after="0" w:line="240" w:lineRule="auto"/>
              <w:jc w:val="center"/>
            </w:pPr>
            <w:r>
              <w:rPr>
                <w:color w:val="000000"/>
                <w:sz w:val="18"/>
                <w:szCs w:val="18"/>
              </w:rPr>
              <w:t>GBN</w:t>
            </w:r>
          </w:p>
        </w:tc>
        <w:tc>
          <w:tcPr>
            <w:tcW w:w="1360" w:type="dxa"/>
            <w:shd w:val="clear" w:color="auto" w:fill="FFFFFF"/>
            <w:vAlign w:val="center"/>
          </w:tcPr>
          <w:p>
            <w:pPr>
              <w:spacing w:before="0" w:after="0" w:line="240" w:lineRule="auto"/>
              <w:jc w:val="center"/>
            </w:pPr>
            <w:r>
              <w:rPr>
                <w:color w:val="000000"/>
                <w:sz w:val="18"/>
                <w:szCs w:val="18"/>
              </w:rPr>
              <w:t>285</w:t>
            </w:r>
          </w:p>
        </w:tc>
        <w:tc>
          <w:tcPr>
            <w:tcW w:w="1060" w:type="dxa"/>
            <w:shd w:val="clear" w:color="auto" w:fill="FFFFFF"/>
            <w:vAlign w:val="center"/>
          </w:tcPr>
          <w:p>
            <w:pPr>
              <w:spacing w:before="0" w:after="0" w:line="240" w:lineRule="auto"/>
              <w:jc w:val="center"/>
            </w:pPr>
            <w:r>
              <w:rPr>
                <w:color w:val="000000"/>
                <w:sz w:val="18"/>
                <w:szCs w:val="18"/>
              </w:rPr>
              <w:t>85</w:t>
            </w:r>
          </w:p>
        </w:tc>
        <w:tc>
          <w:tcPr>
            <w:tcW w:w="1160" w:type="dxa"/>
            <w:shd w:val="clear" w:color="auto" w:fill="FFFFFF"/>
            <w:vAlign w:val="center"/>
          </w:tcPr>
          <w:p>
            <w:pPr>
              <w:spacing w:before="0" w:after="0" w:line="240" w:lineRule="auto"/>
              <w:jc w:val="center"/>
            </w:pPr>
            <w:r>
              <w:rPr>
                <w:color w:val="000000"/>
                <w:sz w:val="18"/>
                <w:szCs w:val="18"/>
              </w:rPr>
              <w:t>200/200</w:t>
            </w:r>
          </w:p>
        </w:tc>
        <w:tc>
          <w:tcPr>
            <w:tcW w:w="740" w:type="dxa"/>
            <w:shd w:val="clear" w:color="auto" w:fill="FFFFFF"/>
            <w:vAlign w:val="center"/>
          </w:tcPr>
          <w:p>
            <w:pPr>
              <w:spacing w:before="0" w:after="0" w:line="240" w:lineRule="auto"/>
              <w:jc w:val="center"/>
            </w:pPr>
            <w:r>
              <w:rPr>
                <w:color w:val="000000"/>
                <w:sz w:val="18"/>
                <w:szCs w:val="18"/>
              </w:rPr>
              <w:t>55.85</w:t>
            </w:r>
          </w:p>
        </w:tc>
        <w:tc>
          <w:tcPr>
            <w:tcW w:w="1420" w:type="dxa"/>
            <w:shd w:val="clear" w:color="auto" w:fill="FFFFFF"/>
            <w:vAlign w:val="center"/>
          </w:tcPr>
          <w:p>
            <w:pPr>
              <w:spacing w:before="0" w:after="0" w:line="240" w:lineRule="auto"/>
              <w:jc w:val="center"/>
            </w:pPr>
            <w:r>
              <w:rPr>
                <w:color w:val="000000"/>
                <w:sz w:val="18"/>
                <w:szCs w:val="18"/>
              </w:rPr>
              <w:t>28.6</w:t>
            </w:r>
          </w:p>
        </w:tc>
        <w:tc>
          <w:tcPr>
            <w:tcW w:w="976" w:type="dxa"/>
            <w:shd w:val="clear" w:color="auto" w:fill="FFFFFF"/>
            <w:vAlign w:val="center"/>
          </w:tcPr>
          <w:p>
            <w:pPr>
              <w:spacing w:before="0" w:after="0" w:line="240" w:lineRule="auto"/>
              <w:jc w:val="center"/>
            </w:pPr>
            <w:r>
              <w:rPr>
                <w:color w:val="000000"/>
                <w:sz w:val="18"/>
                <w:szCs w:val="18"/>
              </w:rPr>
              <w:t>2.0</w:t>
            </w:r>
          </w:p>
        </w:tc>
      </w:tr>
      <w:tr>
        <w:tc>
          <w:tcPr>
            <w:tcW w:w="1250" w:type="dxa"/>
            <w:shd w:val="clear" w:color="auto" w:fill="FFFFFF"/>
            <w:vAlign w:val="center"/>
          </w:tcPr>
          <w:p>
            <w:pPr>
              <w:spacing w:before="0" w:after="0" w:line="240" w:lineRule="auto"/>
              <w:jc w:val="left"/>
            </w:pPr>
            <w:r>
              <w:rPr>
                <w:color w:val="000000"/>
                <w:sz w:val="18"/>
                <w:szCs w:val="18"/>
              </w:rPr>
              <w:t>B: Loss 0.10</w:t>
            </w:r>
          </w:p>
        </w:tc>
        <w:tc>
          <w:tcPr>
            <w:tcW w:w="1060" w:type="dxa"/>
            <w:shd w:val="clear" w:color="auto" w:fill="FFFFFF"/>
            <w:vAlign w:val="center"/>
          </w:tcPr>
          <w:p>
            <w:pPr>
              <w:spacing w:before="0" w:after="0" w:line="240" w:lineRule="auto"/>
              <w:jc w:val="center"/>
            </w:pPr>
            <w:r>
              <w:rPr>
                <w:color w:val="000000"/>
                <w:sz w:val="18"/>
                <w:szCs w:val="18"/>
              </w:rPr>
              <w:t>SR</w:t>
            </w:r>
          </w:p>
        </w:tc>
        <w:tc>
          <w:tcPr>
            <w:tcW w:w="1360" w:type="dxa"/>
            <w:shd w:val="clear" w:color="auto" w:fill="FFFFFF"/>
            <w:vAlign w:val="center"/>
          </w:tcPr>
          <w:p>
            <w:pPr>
              <w:spacing w:before="0" w:after="0" w:line="240" w:lineRule="auto"/>
              <w:jc w:val="center"/>
            </w:pPr>
            <w:r>
              <w:rPr>
                <w:color w:val="000000"/>
                <w:sz w:val="18"/>
                <w:szCs w:val="18"/>
              </w:rPr>
              <w:t>254</w:t>
            </w:r>
          </w:p>
        </w:tc>
        <w:tc>
          <w:tcPr>
            <w:tcW w:w="1060" w:type="dxa"/>
            <w:shd w:val="clear" w:color="auto" w:fill="FFFFFF"/>
            <w:vAlign w:val="center"/>
          </w:tcPr>
          <w:p>
            <w:pPr>
              <w:spacing w:before="0" w:after="0" w:line="240" w:lineRule="auto"/>
              <w:jc w:val="center"/>
            </w:pPr>
            <w:r>
              <w:rPr>
                <w:color w:val="000000"/>
                <w:sz w:val="18"/>
                <w:szCs w:val="18"/>
              </w:rPr>
              <w:t>54</w:t>
            </w:r>
          </w:p>
        </w:tc>
        <w:tc>
          <w:tcPr>
            <w:tcW w:w="1160" w:type="dxa"/>
            <w:shd w:val="clear" w:color="auto" w:fill="FFFFFF"/>
            <w:vAlign w:val="center"/>
          </w:tcPr>
          <w:p>
            <w:pPr>
              <w:spacing w:before="0" w:after="0" w:line="240" w:lineRule="auto"/>
              <w:jc w:val="center"/>
            </w:pPr>
            <w:r>
              <w:rPr>
                <w:color w:val="000000"/>
                <w:sz w:val="18"/>
                <w:szCs w:val="18"/>
              </w:rPr>
              <w:t>200/200</w:t>
            </w:r>
          </w:p>
        </w:tc>
        <w:tc>
          <w:tcPr>
            <w:tcW w:w="740" w:type="dxa"/>
            <w:shd w:val="clear" w:color="auto" w:fill="FFFFFF"/>
            <w:vAlign w:val="center"/>
          </w:tcPr>
          <w:p>
            <w:pPr>
              <w:spacing w:before="0" w:after="0" w:line="240" w:lineRule="auto"/>
              <w:jc w:val="center"/>
            </w:pPr>
            <w:r>
              <w:rPr>
                <w:color w:val="000000"/>
                <w:sz w:val="18"/>
                <w:szCs w:val="18"/>
              </w:rPr>
              <w:t>65.42</w:t>
            </w:r>
          </w:p>
        </w:tc>
        <w:tc>
          <w:tcPr>
            <w:tcW w:w="1420" w:type="dxa"/>
            <w:shd w:val="clear" w:color="auto" w:fill="FFFFFF"/>
            <w:vAlign w:val="center"/>
          </w:tcPr>
          <w:p>
            <w:pPr>
              <w:spacing w:before="0" w:after="0" w:line="240" w:lineRule="auto"/>
              <w:jc w:val="center"/>
            </w:pPr>
            <w:r>
              <w:rPr>
                <w:color w:val="000000"/>
                <w:sz w:val="18"/>
                <w:szCs w:val="18"/>
              </w:rPr>
              <w:t>24.5</w:t>
            </w:r>
          </w:p>
        </w:tc>
        <w:tc>
          <w:tcPr>
            <w:tcW w:w="976" w:type="dxa"/>
            <w:shd w:val="clear" w:color="auto" w:fill="FFFFFF"/>
            <w:vAlign w:val="center"/>
          </w:tcPr>
          <w:p>
            <w:pPr>
              <w:spacing w:before="0" w:after="0" w:line="240" w:lineRule="auto"/>
              <w:jc w:val="center"/>
            </w:pPr>
            <w:r>
              <w:rPr>
                <w:color w:val="000000"/>
                <w:sz w:val="18"/>
                <w:szCs w:val="18"/>
              </w:rPr>
              <w:t>2.3</w:t>
            </w:r>
          </w:p>
        </w:tc>
      </w:tr>
      <w:tr>
        <w:tc>
          <w:tcPr>
            <w:tcW w:w="1250" w:type="dxa"/>
            <w:shd w:val="clear" w:color="auto" w:fill="FFFFFF"/>
            <w:vAlign w:val="center"/>
          </w:tcPr>
          <w:p>
            <w:pPr>
              <w:spacing w:before="0" w:after="0" w:line="240" w:lineRule="auto"/>
              <w:jc w:val="left"/>
            </w:pPr>
            <w:r>
              <w:rPr>
                <w:color w:val="000000"/>
                <w:sz w:val="18"/>
                <w:szCs w:val="18"/>
              </w:rPr>
              <w:t>C: Mixed</w:t>
            </w:r>
          </w:p>
        </w:tc>
        <w:tc>
          <w:tcPr>
            <w:tcW w:w="1060" w:type="dxa"/>
            <w:shd w:val="clear" w:color="auto" w:fill="FFFFFF"/>
            <w:vAlign w:val="center"/>
          </w:tcPr>
          <w:p>
            <w:pPr>
              <w:spacing w:before="0" w:after="0" w:line="240" w:lineRule="auto"/>
              <w:jc w:val="center"/>
            </w:pPr>
            <w:r>
              <w:rPr>
                <w:color w:val="000000"/>
                <w:sz w:val="18"/>
                <w:szCs w:val="18"/>
              </w:rPr>
              <w:t>GBN</w:t>
            </w:r>
          </w:p>
        </w:tc>
        <w:tc>
          <w:tcPr>
            <w:tcW w:w="1360" w:type="dxa"/>
            <w:shd w:val="clear" w:color="auto" w:fill="FFFFFF"/>
            <w:vAlign w:val="center"/>
          </w:tcPr>
          <w:p>
            <w:pPr>
              <w:spacing w:before="0" w:after="0" w:line="240" w:lineRule="auto"/>
              <w:jc w:val="center"/>
            </w:pPr>
            <w:r>
              <w:rPr>
                <w:color w:val="000000"/>
                <w:sz w:val="18"/>
                <w:szCs w:val="18"/>
              </w:rPr>
              <w:t>350</w:t>
            </w:r>
          </w:p>
        </w:tc>
        <w:tc>
          <w:tcPr>
            <w:tcW w:w="1060" w:type="dxa"/>
            <w:shd w:val="clear" w:color="auto" w:fill="FFFFFF"/>
            <w:vAlign w:val="center"/>
          </w:tcPr>
          <w:p>
            <w:pPr>
              <w:spacing w:before="0" w:after="0" w:line="240" w:lineRule="auto"/>
              <w:jc w:val="center"/>
            </w:pPr>
            <w:r>
              <w:rPr>
                <w:color w:val="000000"/>
                <w:sz w:val="18"/>
                <w:szCs w:val="18"/>
              </w:rPr>
              <w:t>150</w:t>
            </w:r>
          </w:p>
        </w:tc>
        <w:tc>
          <w:tcPr>
            <w:tcW w:w="1160" w:type="dxa"/>
            <w:shd w:val="clear" w:color="auto" w:fill="FFFFFF"/>
            <w:vAlign w:val="center"/>
          </w:tcPr>
          <w:p>
            <w:pPr>
              <w:spacing w:before="0" w:after="0" w:line="240" w:lineRule="auto"/>
              <w:jc w:val="center"/>
            </w:pPr>
            <w:r>
              <w:rPr>
                <w:color w:val="000000"/>
                <w:sz w:val="18"/>
                <w:szCs w:val="18"/>
              </w:rPr>
              <w:t>200/200</w:t>
            </w:r>
          </w:p>
        </w:tc>
        <w:tc>
          <w:tcPr>
            <w:tcW w:w="740" w:type="dxa"/>
            <w:shd w:val="clear" w:color="auto" w:fill="FFFFFF"/>
            <w:vAlign w:val="center"/>
          </w:tcPr>
          <w:p>
            <w:pPr>
              <w:spacing w:before="0" w:after="0" w:line="240" w:lineRule="auto"/>
              <w:jc w:val="center"/>
            </w:pPr>
            <w:r>
              <w:rPr>
                <w:color w:val="000000"/>
                <w:sz w:val="18"/>
                <w:szCs w:val="18"/>
              </w:rPr>
              <w:t>82.52</w:t>
            </w:r>
          </w:p>
        </w:tc>
        <w:tc>
          <w:tcPr>
            <w:tcW w:w="1420" w:type="dxa"/>
            <w:shd w:val="clear" w:color="auto" w:fill="FFFFFF"/>
            <w:vAlign w:val="center"/>
          </w:tcPr>
          <w:p>
            <w:pPr>
              <w:spacing w:before="0" w:after="0" w:line="240" w:lineRule="auto"/>
              <w:jc w:val="center"/>
            </w:pPr>
            <w:r>
              <w:rPr>
                <w:color w:val="000000"/>
                <w:sz w:val="18"/>
                <w:szCs w:val="18"/>
              </w:rPr>
              <w:t>19.4</w:t>
            </w:r>
          </w:p>
        </w:tc>
        <w:tc>
          <w:tcPr>
            <w:tcW w:w="976" w:type="dxa"/>
            <w:shd w:val="clear" w:color="auto" w:fill="FFFFFF"/>
            <w:vAlign w:val="center"/>
          </w:tcPr>
          <w:p>
            <w:pPr>
              <w:spacing w:before="0" w:after="0" w:line="240" w:lineRule="auto"/>
              <w:jc w:val="center"/>
            </w:pPr>
            <w:r>
              <w:rPr>
                <w:color w:val="000000"/>
                <w:sz w:val="18"/>
                <w:szCs w:val="18"/>
              </w:rPr>
              <w:t>4.8</w:t>
            </w:r>
          </w:p>
        </w:tc>
      </w:tr>
      <w:tr>
        <w:tc>
          <w:tcPr>
            <w:tcW w:w="1250" w:type="dxa"/>
            <w:shd w:val="clear" w:color="auto" w:fill="FFFFFF"/>
            <w:vAlign w:val="center"/>
          </w:tcPr>
          <w:p>
            <w:pPr>
              <w:spacing w:before="0" w:after="0" w:line="240" w:lineRule="auto"/>
              <w:jc w:val="left"/>
            </w:pPr>
            <w:r>
              <w:rPr>
                <w:color w:val="000000"/>
                <w:sz w:val="18"/>
                <w:szCs w:val="18"/>
              </w:rPr>
              <w:t>C: Mixed</w:t>
            </w:r>
          </w:p>
        </w:tc>
        <w:tc>
          <w:tcPr>
            <w:tcW w:w="1060" w:type="dxa"/>
            <w:shd w:val="clear" w:color="auto" w:fill="FFFFFF"/>
            <w:vAlign w:val="center"/>
          </w:tcPr>
          <w:p>
            <w:pPr>
              <w:spacing w:before="0" w:after="0" w:line="240" w:lineRule="auto"/>
              <w:jc w:val="center"/>
            </w:pPr>
            <w:r>
              <w:rPr>
                <w:color w:val="000000"/>
                <w:sz w:val="18"/>
                <w:szCs w:val="18"/>
              </w:rPr>
              <w:t>SR</w:t>
            </w:r>
          </w:p>
        </w:tc>
        <w:tc>
          <w:tcPr>
            <w:tcW w:w="1360" w:type="dxa"/>
            <w:shd w:val="clear" w:color="auto" w:fill="FFFFFF"/>
            <w:vAlign w:val="center"/>
          </w:tcPr>
          <w:p>
            <w:pPr>
              <w:spacing w:before="0" w:after="0" w:line="240" w:lineRule="auto"/>
              <w:jc w:val="center"/>
            </w:pPr>
            <w:r>
              <w:rPr>
                <w:color w:val="000000"/>
                <w:sz w:val="18"/>
                <w:szCs w:val="18"/>
              </w:rPr>
              <w:t>269</w:t>
            </w:r>
          </w:p>
        </w:tc>
        <w:tc>
          <w:tcPr>
            <w:tcW w:w="1060" w:type="dxa"/>
            <w:shd w:val="clear" w:color="auto" w:fill="FFFFFF"/>
            <w:vAlign w:val="center"/>
          </w:tcPr>
          <w:p>
            <w:pPr>
              <w:spacing w:before="0" w:after="0" w:line="240" w:lineRule="auto"/>
              <w:jc w:val="center"/>
            </w:pPr>
            <w:r>
              <w:rPr>
                <w:color w:val="000000"/>
                <w:sz w:val="18"/>
                <w:szCs w:val="18"/>
              </w:rPr>
              <w:t>69</w:t>
            </w:r>
          </w:p>
        </w:tc>
        <w:tc>
          <w:tcPr>
            <w:tcW w:w="1160" w:type="dxa"/>
            <w:shd w:val="clear" w:color="auto" w:fill="FFFFFF"/>
            <w:vAlign w:val="center"/>
          </w:tcPr>
          <w:p>
            <w:pPr>
              <w:spacing w:before="0" w:after="0" w:line="240" w:lineRule="auto"/>
              <w:jc w:val="center"/>
            </w:pPr>
            <w:r>
              <w:rPr>
                <w:color w:val="000000"/>
                <w:sz w:val="18"/>
                <w:szCs w:val="18"/>
              </w:rPr>
              <w:t>200/200</w:t>
            </w:r>
          </w:p>
        </w:tc>
        <w:tc>
          <w:tcPr>
            <w:tcW w:w="740" w:type="dxa"/>
            <w:shd w:val="clear" w:color="auto" w:fill="FFFFFF"/>
            <w:vAlign w:val="center"/>
          </w:tcPr>
          <w:p>
            <w:pPr>
              <w:spacing w:before="0" w:after="0" w:line="240" w:lineRule="auto"/>
              <w:jc w:val="center"/>
            </w:pPr>
            <w:r>
              <w:rPr>
                <w:color w:val="000000"/>
                <w:sz w:val="18"/>
                <w:szCs w:val="18"/>
              </w:rPr>
              <w:t>75.51</w:t>
            </w:r>
          </w:p>
        </w:tc>
        <w:tc>
          <w:tcPr>
            <w:tcW w:w="1420" w:type="dxa"/>
            <w:shd w:val="clear" w:color="auto" w:fill="FFFFFF"/>
            <w:vAlign w:val="center"/>
          </w:tcPr>
          <w:p>
            <w:pPr>
              <w:spacing w:before="0" w:after="0" w:line="240" w:lineRule="auto"/>
              <w:jc w:val="center"/>
            </w:pPr>
            <w:r>
              <w:rPr>
                <w:color w:val="000000"/>
                <w:sz w:val="18"/>
                <w:szCs w:val="18"/>
              </w:rPr>
              <w:t>21.2</w:t>
            </w:r>
          </w:p>
        </w:tc>
        <w:tc>
          <w:tcPr>
            <w:tcW w:w="976" w:type="dxa"/>
            <w:shd w:val="clear" w:color="auto" w:fill="FFFFFF"/>
            <w:vAlign w:val="center"/>
          </w:tcPr>
          <w:p>
            <w:pPr>
              <w:spacing w:before="0" w:after="0" w:line="240" w:lineRule="auto"/>
              <w:jc w:val="center"/>
            </w:pPr>
            <w:r>
              <w:rPr>
                <w:color w:val="000000"/>
                <w:sz w:val="18"/>
                <w:szCs w:val="18"/>
              </w:rPr>
              <w:t>1.7</w:t>
            </w:r>
          </w:p>
        </w:tc>
      </w:tr>
    </w:tbl>
    <w:p w14:paraId="7E484E59" w14:textId="39753A03" w:rsidR="00DF6418" w:rsidRDefault="00DF6418" w:rsidP="00DF6418">
      <w:pPr>
        <w:rPr>
          <w:b/>
          <w:bCs/>
          <w:i/>
          <w:iCs/>
          <w:sz w:val="36"/>
          <w:szCs w:val="36"/>
        </w:rPr>
      </w:pPr>
      <w:r>
        <w:rPr>
          <w:b/>
          <w:bCs/>
          <w:i/>
          <w:iCs/>
          <w:noProof/>
          <w:sz w:val="36"/>
          <w:szCs w:val="36"/>
        </w:rPr>
        <w:drawing>
          <wp:inline distT="0" distB="0" distL="0" distR="0" wp14:anchorId="613F5E07" wp14:editId="7FBCA08C">
            <wp:extent cx="5731510" cy="1757680"/>
            <wp:effectExtent l="0" t="0" r="2540" b="0"/>
            <wp:docPr id="133061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10481" name="Picture 13306104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57680"/>
                    </a:xfrm>
                    <a:prstGeom prst="rect">
                      <a:avLst/>
                    </a:prstGeom>
                  </pic:spPr>
                </pic:pic>
              </a:graphicData>
            </a:graphic>
          </wp:inline>
        </w:drawing>
      </w:r>
    </w:p>
    <w:p w14:paraId="54F7FEB4" w14:textId="77777777" w:rsidR="00DF6418" w:rsidRDefault="00DF6418" w:rsidP="00DF6418">
      <w:r w:rsidRPr="00DF6418">
        <w:t xml:space="preserve">30-seed means (transmitted / retransmissions / kbps): B: GBN 286.8 / 86.8 / 28.5, SR 245.4 / 45.4 / 26.9. C: GBN 343.3 / 143.3 / 20.0, SR 246.8 / 46.8 / 25.8. All 30 runs of every setting delivered 200/200 correctly. </w:t>
      </w:r>
    </w:p>
    <w:p w14:paraId="57A38833" w14:textId="77777777" w:rsidR="00DF6418" w:rsidRDefault="00DF6418" w:rsidP="00DF6418"/>
    <w:p w14:paraId="032D665D" w14:textId="77777777" w:rsidR="00DF6418" w:rsidRDefault="00DF6418" w:rsidP="00DF6418"/>
    <w:p w14:paraId="70F1C151" w14:textId="77777777" w:rsidR="00DF6418" w:rsidRPr="00DF6418" w:rsidRDefault="00DF6418" w:rsidP="00DF6418">
      <w:pPr>
        <w:rPr>
          <w:b/>
          <w:bCs/>
          <w:i/>
          <w:iCs/>
          <w:sz w:val="36"/>
          <w:szCs w:val="36"/>
        </w:rPr>
      </w:pPr>
      <w:r w:rsidRPr="00DF6418">
        <w:rPr>
          <w:b/>
          <w:bCs/>
          <w:i/>
          <w:iCs/>
          <w:sz w:val="36"/>
          <w:szCs w:val="36"/>
        </w:rPr>
        <w:lastRenderedPageBreak/>
        <w:t xml:space="preserve">Comparison </w:t>
      </w:r>
    </w:p>
    <w:p w14:paraId="40B39279" w14:textId="307AC559" w:rsidR="00DF6418" w:rsidRDefault="00DF6418" w:rsidP="00DF6418">
      <w:r w:rsidRPr="00DF6418">
        <w:t xml:space="preserve">On the reliable channel GBN and SR are identical (200 transmissions, no retransmissions) because the window never stalls. Under loss and errors GBN resends the whole outstanding window after each timeout and discards out-of-order packets, while SR buffers them and resends only the missing packet, so GBN retransmits 85 and 150 packets against SR's 54 and 69. This saves bandwidth and gives SR the higher throughput in the mixed scenario (21.2 vs 19.4 kbps; 25.8 vs 20.0 kbps over 30 seeds). With loss only (B) SR is not faster, because each lost packet waits for its own timer while the window is blocked at base, so its advantage there is fewer retransmissions rather than speed. </w:t>
      </w:r>
    </w:p>
    <w:p w14:paraId="42C853D4" w14:textId="77777777" w:rsidR="00DF6418" w:rsidRPr="00DF6418" w:rsidRDefault="00DF6418" w:rsidP="00DF6418">
      <w:pPr>
        <w:rPr>
          <w:b/>
          <w:bCs/>
          <w:i/>
          <w:iCs/>
          <w:sz w:val="36"/>
          <w:szCs w:val="36"/>
        </w:rPr>
      </w:pPr>
      <w:r w:rsidRPr="00DF6418">
        <w:rPr>
          <w:b/>
          <w:bCs/>
          <w:i/>
          <w:iCs/>
          <w:sz w:val="36"/>
          <w:szCs w:val="36"/>
        </w:rPr>
        <w:t xml:space="preserve">Conclusion </w:t>
      </w:r>
    </w:p>
    <w:p w14:paraId="15FFFF09" w14:textId="7DD07FEB" w:rsidR="00DF6418" w:rsidRPr="00DF6418" w:rsidRDefault="00DF6418" w:rsidP="00DF6418">
      <w:r w:rsidRPr="00DF6418">
        <w:t>Both protocols delivered all 200 packets in order in every run (no failures in 200 extra seeds tested for scenarios B and C). GBN is simpler (one timer, one receiver variable) but wastes bandwidth under errors; SR needs per-packet timers and a receiver buffer but retransmits far less. Limitation: sequence numbers are only unambiguous if a packet cannot outlive the time to reuse its number. With a timeout of 1.0 s, below the maximum RTT, one of 30 SR runs under mixed errors accepted a stale duplicate after wraparound; setting the timeout above the maximum RTT removed this.</w:t>
      </w:r>
    </w:p>
    <w:sectPr w:rsidR="00DF6418" w:rsidRPr="00DF6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240CD"/>
    <w:multiLevelType w:val="hybridMultilevel"/>
    <w:tmpl w:val="D7DEDD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1547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418"/>
    <w:rsid w:val="00BC249C"/>
    <w:rsid w:val="00DF641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647A"/>
  <w15:chartTrackingRefBased/>
  <w15:docId w15:val="{150516E1-5446-47A3-B572-FD7CDFB86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418"/>
    <w:rPr>
      <w:rFonts w:eastAsiaTheme="majorEastAsia" w:cstheme="majorBidi"/>
      <w:color w:val="272727" w:themeColor="text1" w:themeTint="D8"/>
    </w:rPr>
  </w:style>
  <w:style w:type="paragraph" w:styleId="Title">
    <w:name w:val="Title"/>
    <w:basedOn w:val="Normal"/>
    <w:next w:val="Normal"/>
    <w:link w:val="TitleChar"/>
    <w:uiPriority w:val="10"/>
    <w:qFormat/>
    <w:rsid w:val="00DF6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418"/>
    <w:pPr>
      <w:spacing w:before="160"/>
      <w:jc w:val="center"/>
    </w:pPr>
    <w:rPr>
      <w:i/>
      <w:iCs/>
      <w:color w:val="404040" w:themeColor="text1" w:themeTint="BF"/>
    </w:rPr>
  </w:style>
  <w:style w:type="character" w:customStyle="1" w:styleId="QuoteChar">
    <w:name w:val="Quote Char"/>
    <w:basedOn w:val="DefaultParagraphFont"/>
    <w:link w:val="Quote"/>
    <w:uiPriority w:val="29"/>
    <w:rsid w:val="00DF6418"/>
    <w:rPr>
      <w:i/>
      <w:iCs/>
      <w:color w:val="404040" w:themeColor="text1" w:themeTint="BF"/>
    </w:rPr>
  </w:style>
  <w:style w:type="paragraph" w:styleId="ListParagraph">
    <w:name w:val="List Paragraph"/>
    <w:basedOn w:val="Normal"/>
    <w:uiPriority w:val="34"/>
    <w:qFormat/>
    <w:rsid w:val="00DF6418"/>
    <w:pPr>
      <w:ind w:left="720"/>
      <w:contextualSpacing/>
    </w:pPr>
  </w:style>
  <w:style w:type="character" w:styleId="IntenseEmphasis">
    <w:name w:val="Intense Emphasis"/>
    <w:basedOn w:val="DefaultParagraphFont"/>
    <w:uiPriority w:val="21"/>
    <w:qFormat/>
    <w:rsid w:val="00DF6418"/>
    <w:rPr>
      <w:i/>
      <w:iCs/>
      <w:color w:val="0F4761" w:themeColor="accent1" w:themeShade="BF"/>
    </w:rPr>
  </w:style>
  <w:style w:type="paragraph" w:styleId="IntenseQuote">
    <w:name w:val="Intense Quote"/>
    <w:basedOn w:val="Normal"/>
    <w:next w:val="Normal"/>
    <w:link w:val="IntenseQuoteChar"/>
    <w:uiPriority w:val="30"/>
    <w:qFormat/>
    <w:rsid w:val="00DF6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418"/>
    <w:rPr>
      <w:i/>
      <w:iCs/>
      <w:color w:val="0F4761" w:themeColor="accent1" w:themeShade="BF"/>
    </w:rPr>
  </w:style>
  <w:style w:type="character" w:styleId="IntenseReference">
    <w:name w:val="Intense Reference"/>
    <w:basedOn w:val="DefaultParagraphFont"/>
    <w:uiPriority w:val="32"/>
    <w:qFormat/>
    <w:rsid w:val="00DF6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Baqar</dc:creator>
  <cp:keywords/>
  <dc:description/>
  <cp:lastModifiedBy>Muhammad Baqar</cp:lastModifiedBy>
  <cp:revision>1</cp:revision>
  <dcterms:created xsi:type="dcterms:W3CDTF">2026-10-18T16:59:00Z</dcterms:created>
  <dcterms:modified xsi:type="dcterms:W3CDTF">2026-10-18T17:09:00Z</dcterms:modified>
</cp:coreProperties>
</file>