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2818079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000000"/>
        </w:rPr>
      </w:sdtEndPr>
      <w:sdtContent>
        <w:bookmarkStart w:id="0" w:name="_GoBack" w:displacedByCustomXml="prev"/>
        <w:bookmarkEnd w:id="0" w:displacedByCustomXml="prev"/>
        <w:p w14:paraId="51C5DCF6" w14:textId="61AD020A" w:rsidR="003D5970" w:rsidRDefault="003D5970"/>
        <w:p w14:paraId="5FF50A2A" w14:textId="77777777" w:rsidR="003D5970" w:rsidRDefault="003D5970">
          <w:pPr>
            <w:rPr>
              <w:rStyle w:val="nfasissutil"/>
            </w:rPr>
          </w:pPr>
        </w:p>
        <w:p w14:paraId="37B05F5B" w14:textId="77777777" w:rsidR="003D5970" w:rsidRDefault="003D5970">
          <w:pPr>
            <w:rPr>
              <w:rStyle w:val="nfasissutil"/>
            </w:rPr>
          </w:pPr>
        </w:p>
        <w:p w14:paraId="30F3E1D3" w14:textId="77777777" w:rsidR="003D5970" w:rsidRDefault="003D5970">
          <w:pPr>
            <w:rPr>
              <w:rStyle w:val="nfasissutil"/>
            </w:rPr>
          </w:pPr>
        </w:p>
        <w:p w14:paraId="15395469" w14:textId="0446F363" w:rsidR="00CC042A" w:rsidRPr="003D5970" w:rsidRDefault="00CC042A">
          <w:pPr>
            <w:rPr>
              <w:rStyle w:val="nfasissutil"/>
            </w:rPr>
          </w:pPr>
          <w:r w:rsidRPr="003D5970">
            <w:rPr>
              <w:rStyle w:val="nfasissutil"/>
            </w:rPr>
            <w:t xml:space="preserve">Versión 1.0 </w:t>
          </w:r>
        </w:p>
        <w:p w14:paraId="7B6E3B3E" w14:textId="346B58C5" w:rsidR="00CC042A" w:rsidRPr="003D5970" w:rsidRDefault="00CC042A">
          <w:pPr>
            <w:rPr>
              <w:rStyle w:val="nfasissutil"/>
            </w:rPr>
          </w:pPr>
          <w:r w:rsidRPr="003D5970">
            <w:rPr>
              <w:rStyle w:val="nfasissutil"/>
            </w:rPr>
            <w:t>17 de octubre de 2018</w:t>
          </w:r>
        </w:p>
        <w:p w14:paraId="07088EE3" w14:textId="3ED97751" w:rsidR="00CC042A" w:rsidRDefault="00CC042A" w:rsidP="00CC042A">
          <w:pPr>
            <w:rPr>
              <w:rFonts w:ascii="Arial" w:eastAsia="Arial" w:hAnsi="Arial" w:cs="Arial"/>
              <w:color w:val="000000"/>
            </w:rPr>
            <w:sectPr w:rsidR="00CC042A" w:rsidSect="00CC042A">
              <w:pgSz w:w="12240" w:h="15840"/>
              <w:pgMar w:top="1417" w:right="1701" w:bottom="1417" w:left="1701" w:header="708" w:footer="708" w:gutter="0"/>
              <w:pgNumType w:start="0"/>
              <w:cols w:space="720"/>
              <w:titlePg/>
              <w:docGrid w:linePitch="299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 wp14:anchorId="0D3978D6" wp14:editId="0C7B0D7D">
                    <wp:simplePos x="0" y="0"/>
                    <wp:positionH relativeFrom="margin">
                      <wp:posOffset>-3810</wp:posOffset>
                    </wp:positionH>
                    <wp:positionV relativeFrom="page">
                      <wp:posOffset>1190625</wp:posOffset>
                    </wp:positionV>
                    <wp:extent cx="5423535" cy="5591810"/>
                    <wp:effectExtent l="0" t="0" r="5715" b="889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23535" cy="559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A194BE" w14:textId="689D7EDB" w:rsidR="00BA2DC2" w:rsidRPr="00CC042A" w:rsidRDefault="00BA2DC2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9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17976358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C042A">
                                      <w:rPr>
                                        <w:color w:val="4F81BD" w:themeColor="accent1"/>
                                        <w:sz w:val="96"/>
                                        <w:szCs w:val="72"/>
                                      </w:rPr>
                                      <w:t>Plan de cambios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32"/>
                                    <w:szCs w:val="28"/>
                                  </w:rPr>
                                  <w:alias w:val="Subtítulo"/>
                                  <w:tag w:val=""/>
                                  <w:id w:val="-137623288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D42C25" w14:textId="37A405DF" w:rsidR="00BA2DC2" w:rsidRPr="00CC042A" w:rsidRDefault="00EF38D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32"/>
                                        <w:szCs w:val="28"/>
                                      </w:rPr>
                                    </w:pPr>
                                    <w:r w:rsidRPr="00CC042A">
                                      <w:rPr>
                                        <w:caps/>
                                        <w:color w:val="215868" w:themeColor="accent5" w:themeShade="80"/>
                                        <w:sz w:val="32"/>
                                        <w:szCs w:val="28"/>
                                      </w:rPr>
                                      <w:t>Sistema de denuncias Estudiantilies UV</w:t>
                                    </w:r>
                                  </w:p>
                                </w:sdtContent>
                              </w:sdt>
                              <w:p w14:paraId="43AE494E" w14:textId="7A18D715" w:rsidR="00BA2DC2" w:rsidRDefault="00BA2DC2" w:rsidP="00BA2DC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71F9BD4E" w14:textId="172B32B9" w:rsidR="00CC042A" w:rsidRDefault="00CC042A" w:rsidP="00BA2DC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6F45993A" w14:textId="77777777" w:rsidR="003D5970" w:rsidRPr="00CC042A" w:rsidRDefault="003D5970" w:rsidP="00BA2DC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446CB356" w14:textId="2400D235" w:rsidR="00BA2DC2" w:rsidRPr="00CC042A" w:rsidRDefault="00EF38D0" w:rsidP="00BA2DC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 w:rsidRPr="00CC042A">
                                  <w:rPr>
                                    <w:caps/>
                                    <w:color w:val="808080" w:themeColor="background1" w:themeShade="80"/>
                                    <w:sz w:val="28"/>
                                    <w:szCs w:val="24"/>
                                  </w:rPr>
                                  <w:t>Intergrantes del equipo</w:t>
                                </w:r>
                                <w:r w:rsidRPr="00CC042A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:</w:t>
                                </w:r>
                              </w:p>
                              <w:p w14:paraId="7E9ECD2D" w14:textId="77777777" w:rsidR="00BA2DC2" w:rsidRPr="00CC042A" w:rsidRDefault="00BA2DC2" w:rsidP="00BA2DC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 w:rsidRPr="00CC042A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Alejo Díaz César Jesús</w:t>
                                </w:r>
                              </w:p>
                              <w:p w14:paraId="2D322F16" w14:textId="77777777" w:rsidR="00BA2DC2" w:rsidRPr="00CC042A" w:rsidRDefault="00BA2DC2" w:rsidP="00BA2DC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 w:rsidRPr="00CC042A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Cabrera Herrera Fernando Mikhail</w:t>
                                </w:r>
                              </w:p>
                              <w:p w14:paraId="79451CA8" w14:textId="77777777" w:rsidR="00BA2DC2" w:rsidRPr="00CC042A" w:rsidRDefault="00BA2DC2" w:rsidP="00BA2DC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 w:rsidRPr="00CC042A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López Benítez Paola Maraí</w:t>
                                </w:r>
                              </w:p>
                              <w:p w14:paraId="099205AB" w14:textId="76B5E19E" w:rsidR="00BA2DC2" w:rsidRDefault="00BA2DC2" w:rsidP="00BA2DC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 w:rsidRPr="00CC042A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Vázquez Casas Laura Giselle</w:t>
                                </w:r>
                              </w:p>
                              <w:p w14:paraId="275BCE58" w14:textId="77777777" w:rsidR="00CC042A" w:rsidRPr="00CC042A" w:rsidRDefault="00CC042A" w:rsidP="00BA2DC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3978D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-.3pt;margin-top:93.75pt;width:427.05pt;height:440.3pt;z-index:251664384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" filled="f" stroked="f" strokeweight=".5pt">
                    <v:textbox inset="0,0,0,0">
                      <w:txbxContent>
                        <w:p w14:paraId="70A194BE" w14:textId="689D7EDB" w:rsidR="00BA2DC2" w:rsidRPr="00CC042A" w:rsidRDefault="00BA2DC2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F81BD" w:themeColor="accent1"/>
                              <w:sz w:val="9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17976358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C042A">
                                <w:rPr>
                                  <w:color w:val="4F81BD" w:themeColor="accent1"/>
                                  <w:sz w:val="96"/>
                                  <w:szCs w:val="72"/>
                                </w:rPr>
                                <w:t>Plan de cambios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32"/>
                              <w:szCs w:val="28"/>
                            </w:rPr>
                            <w:alias w:val="Subtítulo"/>
                            <w:tag w:val=""/>
                            <w:id w:val="-137623288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D42C25" w14:textId="37A405DF" w:rsidR="00BA2DC2" w:rsidRPr="00CC042A" w:rsidRDefault="00EF38D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32"/>
                                  <w:szCs w:val="28"/>
                                </w:rPr>
                              </w:pPr>
                              <w:r w:rsidRPr="00CC042A">
                                <w:rPr>
                                  <w:caps/>
                                  <w:color w:val="215868" w:themeColor="accent5" w:themeShade="80"/>
                                  <w:sz w:val="32"/>
                                  <w:szCs w:val="28"/>
                                </w:rPr>
                                <w:t>Sistema de denuncias Estudiantilies UV</w:t>
                              </w:r>
                            </w:p>
                          </w:sdtContent>
                        </w:sdt>
                        <w:p w14:paraId="43AE494E" w14:textId="7A18D715" w:rsidR="00BA2DC2" w:rsidRDefault="00BA2DC2" w:rsidP="00BA2DC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BACC6" w:themeColor="accent5"/>
                              <w:sz w:val="28"/>
                              <w:szCs w:val="24"/>
                            </w:rPr>
                          </w:pPr>
                        </w:p>
                        <w:p w14:paraId="71F9BD4E" w14:textId="172B32B9" w:rsidR="00CC042A" w:rsidRDefault="00CC042A" w:rsidP="00BA2DC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BACC6" w:themeColor="accent5"/>
                              <w:sz w:val="28"/>
                              <w:szCs w:val="24"/>
                            </w:rPr>
                          </w:pPr>
                        </w:p>
                        <w:p w14:paraId="6F45993A" w14:textId="77777777" w:rsidR="003D5970" w:rsidRPr="00CC042A" w:rsidRDefault="003D5970" w:rsidP="00BA2DC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BACC6" w:themeColor="accent5"/>
                              <w:sz w:val="28"/>
                              <w:szCs w:val="24"/>
                            </w:rPr>
                          </w:pPr>
                        </w:p>
                        <w:p w14:paraId="446CB356" w14:textId="2400D235" w:rsidR="00BA2DC2" w:rsidRPr="00CC042A" w:rsidRDefault="00EF38D0" w:rsidP="00BA2DC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 w:rsidRPr="00CC042A">
                            <w:rPr>
                              <w:caps/>
                              <w:color w:val="808080" w:themeColor="background1" w:themeShade="80"/>
                              <w:sz w:val="28"/>
                              <w:szCs w:val="24"/>
                            </w:rPr>
                            <w:t>Intergrantes del equipo</w:t>
                          </w:r>
                          <w:r w:rsidRPr="00CC042A"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  <w:t>:</w:t>
                          </w:r>
                        </w:p>
                        <w:p w14:paraId="7E9ECD2D" w14:textId="77777777" w:rsidR="00BA2DC2" w:rsidRPr="00CC042A" w:rsidRDefault="00BA2DC2" w:rsidP="00BA2DC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 w:rsidRPr="00CC042A"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  <w:t>Alejo Díaz César Jesús</w:t>
                          </w:r>
                        </w:p>
                        <w:p w14:paraId="2D322F16" w14:textId="77777777" w:rsidR="00BA2DC2" w:rsidRPr="00CC042A" w:rsidRDefault="00BA2DC2" w:rsidP="00BA2DC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 w:rsidRPr="00CC042A"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  <w:t>Cabrera Herrera Fernando Mikhail</w:t>
                          </w:r>
                        </w:p>
                        <w:p w14:paraId="79451CA8" w14:textId="77777777" w:rsidR="00BA2DC2" w:rsidRPr="00CC042A" w:rsidRDefault="00BA2DC2" w:rsidP="00BA2DC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 w:rsidRPr="00CC042A"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  <w:t>López Benítez Paola Maraí</w:t>
                          </w:r>
                        </w:p>
                        <w:p w14:paraId="099205AB" w14:textId="76B5E19E" w:rsidR="00BA2DC2" w:rsidRDefault="00BA2DC2" w:rsidP="00BA2DC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 w:rsidRPr="00CC042A"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  <w:t>Vázquez Casas Laura Giselle</w:t>
                          </w:r>
                        </w:p>
                        <w:p w14:paraId="275BCE58" w14:textId="77777777" w:rsidR="00CC042A" w:rsidRPr="00CC042A" w:rsidRDefault="00CC042A" w:rsidP="00BA2DC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A2DC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A3F1D21" wp14:editId="624D753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529022727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3F0238" w14:textId="34FFA5CE" w:rsidR="00BA2DC2" w:rsidRDefault="00BA2DC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3F1D21" id="Rectángulo 132" o:spid="_x0000_s1027" style="position:absolute;margin-left:-4.4pt;margin-top:0;width:46.8pt;height:77.75pt;z-index:25165414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A/vrNHaAAAABAEAAA8AAABk&#10;cnMvZG93bnJldi54bWxMj8FOwzAQRO9I/IO1SNyo00AiGuJUgIS4lEML6nkTmzjCXgfbacLfY7jA&#10;ZaTVjGbe1tvFGnZSPgyOBKxXGTBFnZMD9QLeXp+uboGFiCTROFICvlSAbXN+VmMl3Ux7dTrEnqUS&#10;ChUK0DGOFeeh08piWLlRUfLenbcY0+l7Lj3OqdwanmdZyS0OlBY0jupRq+7jMFkBOe5mvd7lL8fP&#10;m2kpjfUPz9QKcXmx3N8Bi2qJf2H4wU/o0CSm1k0kAzMC0iPxV5O3uS6BtSlTFAXwpub/4Ztv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A/vrNHaAAAABAEAAA8AAAAAAAAAAAAAAAAA&#10;AAUAAGRycy9kb3ducmV2LnhtbFBLBQYAAAAABAAEAPMAAAAHBg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529022727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3F0238" w14:textId="34FFA5CE" w:rsidR="00BA2DC2" w:rsidRDefault="00BA2DC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21A28F1" w14:textId="6E5E3EE1" w:rsidR="00533370" w:rsidRDefault="00BA2DC2" w:rsidP="00CC042A">
          <w:pPr>
            <w:ind w:left="142"/>
            <w:rPr>
              <w:rFonts w:ascii="Arial" w:eastAsia="Arial" w:hAnsi="Arial" w:cs="Arial"/>
              <w:color w:val="000000"/>
            </w:rPr>
          </w:pPr>
        </w:p>
      </w:sdtContent>
    </w:sdt>
    <w:tbl>
      <w:tblPr>
        <w:tblStyle w:val="a"/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3860"/>
        <w:gridCol w:w="6095"/>
        <w:gridCol w:w="1814"/>
      </w:tblGrid>
      <w:tr w:rsidR="00533370" w:rsidRPr="00CC042A" w14:paraId="2ED3093F" w14:textId="77777777" w:rsidTr="00CC042A">
        <w:tc>
          <w:tcPr>
            <w:tcW w:w="2089" w:type="dxa"/>
          </w:tcPr>
          <w:p w14:paraId="1B1F865A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C042A">
              <w:rPr>
                <w:rFonts w:ascii="Arial" w:hAnsi="Arial" w:cs="Arial"/>
                <w:b/>
                <w:sz w:val="24"/>
                <w:szCs w:val="24"/>
              </w:rPr>
              <w:t xml:space="preserve">Artefacto </w:t>
            </w:r>
          </w:p>
        </w:tc>
        <w:tc>
          <w:tcPr>
            <w:tcW w:w="3860" w:type="dxa"/>
          </w:tcPr>
          <w:p w14:paraId="2371FE3E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C042A">
              <w:rPr>
                <w:rFonts w:ascii="Arial" w:hAnsi="Arial" w:cs="Arial"/>
                <w:b/>
                <w:sz w:val="24"/>
                <w:szCs w:val="24"/>
              </w:rPr>
              <w:t>Razón de control</w:t>
            </w:r>
          </w:p>
        </w:tc>
        <w:tc>
          <w:tcPr>
            <w:tcW w:w="6095" w:type="dxa"/>
          </w:tcPr>
          <w:p w14:paraId="6733584D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C042A">
              <w:rPr>
                <w:rFonts w:ascii="Arial" w:hAnsi="Arial" w:cs="Arial"/>
                <w:b/>
                <w:sz w:val="24"/>
                <w:szCs w:val="24"/>
              </w:rPr>
              <w:t>Reglas</w:t>
            </w:r>
          </w:p>
        </w:tc>
        <w:tc>
          <w:tcPr>
            <w:tcW w:w="1814" w:type="dxa"/>
          </w:tcPr>
          <w:p w14:paraId="37CF82A0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C042A">
              <w:rPr>
                <w:rFonts w:ascii="Arial" w:hAnsi="Arial" w:cs="Arial"/>
                <w:b/>
                <w:sz w:val="24"/>
                <w:szCs w:val="24"/>
              </w:rPr>
              <w:t xml:space="preserve">Responsable </w:t>
            </w:r>
          </w:p>
        </w:tc>
      </w:tr>
      <w:tr w:rsidR="00533370" w:rsidRPr="00CC042A" w14:paraId="339FAC59" w14:textId="77777777" w:rsidTr="00CC042A">
        <w:tc>
          <w:tcPr>
            <w:tcW w:w="2089" w:type="dxa"/>
          </w:tcPr>
          <w:p w14:paraId="7116768C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 xml:space="preserve">Especificación de requerimiento </w:t>
            </w:r>
          </w:p>
        </w:tc>
        <w:tc>
          <w:tcPr>
            <w:tcW w:w="3860" w:type="dxa"/>
          </w:tcPr>
          <w:p w14:paraId="05CECFB3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color w:val="000000"/>
                <w:sz w:val="24"/>
                <w:szCs w:val="24"/>
              </w:rPr>
              <w:t>Cambio de reglas de negocio,</w:t>
            </w:r>
          </w:p>
          <w:p w14:paraId="6A02BCCC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color w:val="000000"/>
                <w:sz w:val="24"/>
                <w:szCs w:val="24"/>
              </w:rPr>
              <w:t xml:space="preserve">Cambio en restricciones </w:t>
            </w:r>
          </w:p>
          <w:p w14:paraId="0611D5D9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color w:val="000000"/>
                <w:sz w:val="24"/>
                <w:szCs w:val="24"/>
              </w:rPr>
              <w:t xml:space="preserve">Requerimientos nuevos. </w:t>
            </w:r>
          </w:p>
        </w:tc>
        <w:tc>
          <w:tcPr>
            <w:tcW w:w="6095" w:type="dxa"/>
          </w:tcPr>
          <w:p w14:paraId="7545A358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color w:val="000000"/>
                <w:sz w:val="24"/>
                <w:szCs w:val="24"/>
              </w:rPr>
              <w:t>Afectación directa a requerimientos funcionales</w:t>
            </w:r>
          </w:p>
          <w:p w14:paraId="0B986C0B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color w:val="000000"/>
                <w:sz w:val="24"/>
                <w:szCs w:val="24"/>
              </w:rPr>
              <w:t>Que est</w:t>
            </w:r>
            <w:r w:rsidRPr="00CC042A">
              <w:rPr>
                <w:rFonts w:ascii="Arial" w:hAnsi="Arial" w:cs="Arial"/>
                <w:sz w:val="24"/>
                <w:szCs w:val="24"/>
              </w:rPr>
              <w:t>é</w:t>
            </w:r>
            <w:r w:rsidRPr="00CC042A">
              <w:rPr>
                <w:rFonts w:ascii="Arial" w:hAnsi="Arial" w:cs="Arial"/>
                <w:color w:val="000000"/>
                <w:sz w:val="24"/>
                <w:szCs w:val="24"/>
              </w:rPr>
              <w:t xml:space="preserve"> dentro de los cambios permitidos establecidos en el contrato. </w:t>
            </w:r>
          </w:p>
          <w:p w14:paraId="7175AC3F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color w:val="000000"/>
                <w:sz w:val="24"/>
                <w:szCs w:val="24"/>
              </w:rPr>
              <w:t>Que est</w:t>
            </w:r>
            <w:r w:rsidRPr="00CC042A">
              <w:rPr>
                <w:rFonts w:ascii="Arial" w:hAnsi="Arial" w:cs="Arial"/>
                <w:sz w:val="24"/>
                <w:szCs w:val="24"/>
              </w:rPr>
              <w:t>é</w:t>
            </w:r>
            <w:r w:rsidRPr="00CC042A">
              <w:rPr>
                <w:rFonts w:ascii="Arial" w:hAnsi="Arial" w:cs="Arial"/>
                <w:color w:val="000000"/>
                <w:sz w:val="24"/>
                <w:szCs w:val="24"/>
              </w:rPr>
              <w:t xml:space="preserve"> dentro del tiempo estipulado para la finalización del proyecto sin afectar la fecha de entrega a menos que se llegue a un acuerdo firmado por parte del cliente.</w:t>
            </w:r>
          </w:p>
          <w:p w14:paraId="4A5DED50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color w:val="000000"/>
                <w:sz w:val="24"/>
                <w:szCs w:val="24"/>
              </w:rPr>
              <w:t xml:space="preserve">Cliente absorberá los costos que impliquen este cambio. </w:t>
            </w:r>
          </w:p>
        </w:tc>
        <w:tc>
          <w:tcPr>
            <w:tcW w:w="1814" w:type="dxa"/>
          </w:tcPr>
          <w:p w14:paraId="1065FCCB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Fernando Cabrera</w:t>
            </w:r>
          </w:p>
        </w:tc>
      </w:tr>
      <w:tr w:rsidR="00533370" w:rsidRPr="00CC042A" w14:paraId="7F4AF1ED" w14:textId="77777777" w:rsidTr="00CC042A">
        <w:tc>
          <w:tcPr>
            <w:tcW w:w="2089" w:type="dxa"/>
          </w:tcPr>
          <w:p w14:paraId="0FA39971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Diagrama de datos</w:t>
            </w:r>
          </w:p>
        </w:tc>
        <w:tc>
          <w:tcPr>
            <w:tcW w:w="3860" w:type="dxa"/>
          </w:tcPr>
          <w:p w14:paraId="124245FE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El flujo de los datos está mal representado</w:t>
            </w:r>
          </w:p>
          <w:p w14:paraId="1383CEC2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La transformación de los datos es incorrecta</w:t>
            </w:r>
          </w:p>
        </w:tc>
        <w:tc>
          <w:tcPr>
            <w:tcW w:w="6095" w:type="dxa"/>
          </w:tcPr>
          <w:p w14:paraId="429FA5C5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El flujo de datos afecta decisiones de diseño</w:t>
            </w:r>
          </w:p>
          <w:p w14:paraId="01A74060" w14:textId="77777777" w:rsidR="00533370" w:rsidRPr="00CC042A" w:rsidRDefault="0029253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Un cambio en los flujos de datos debe estar especificado en el contrato</w:t>
            </w:r>
          </w:p>
        </w:tc>
        <w:tc>
          <w:tcPr>
            <w:tcW w:w="1814" w:type="dxa"/>
          </w:tcPr>
          <w:p w14:paraId="085D5322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Giselle</w:t>
            </w:r>
          </w:p>
        </w:tc>
      </w:tr>
      <w:tr w:rsidR="00533370" w:rsidRPr="00CC042A" w14:paraId="4289D732" w14:textId="77777777" w:rsidTr="00CC042A">
        <w:tc>
          <w:tcPr>
            <w:tcW w:w="2089" w:type="dxa"/>
          </w:tcPr>
          <w:p w14:paraId="79300DBD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Diagrama de clases</w:t>
            </w:r>
          </w:p>
        </w:tc>
        <w:tc>
          <w:tcPr>
            <w:tcW w:w="3860" w:type="dxa"/>
          </w:tcPr>
          <w:p w14:paraId="438BFED3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La construcción encuentra problemas de diseño</w:t>
            </w:r>
          </w:p>
        </w:tc>
        <w:tc>
          <w:tcPr>
            <w:tcW w:w="6095" w:type="dxa"/>
          </w:tcPr>
          <w:p w14:paraId="6CBBC588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La solución diseñada no es suficiente y necesita hacerse cambios</w:t>
            </w:r>
          </w:p>
          <w:p w14:paraId="7A95ED49" w14:textId="77777777" w:rsidR="00533370" w:rsidRPr="00CC042A" w:rsidRDefault="005333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14:paraId="64BD0586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Paola/Cesar</w:t>
            </w:r>
          </w:p>
        </w:tc>
      </w:tr>
      <w:tr w:rsidR="00533370" w:rsidRPr="00CC042A" w14:paraId="1A4D81B8" w14:textId="77777777" w:rsidTr="00CC042A">
        <w:tc>
          <w:tcPr>
            <w:tcW w:w="2089" w:type="dxa"/>
          </w:tcPr>
          <w:p w14:paraId="3D117A1F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Casos de uso</w:t>
            </w:r>
          </w:p>
        </w:tc>
        <w:tc>
          <w:tcPr>
            <w:tcW w:w="3860" w:type="dxa"/>
          </w:tcPr>
          <w:p w14:paraId="6286D2BF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Faltan funcionalidades por definir</w:t>
            </w:r>
          </w:p>
          <w:p w14:paraId="694FE145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Los casos de uso especificados no cumplen con los requerimientos</w:t>
            </w:r>
          </w:p>
          <w:p w14:paraId="388205E2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Cambio de los requerimientos</w:t>
            </w:r>
          </w:p>
          <w:p w14:paraId="6F288591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Se han agregado requerimientos</w:t>
            </w:r>
          </w:p>
        </w:tc>
        <w:tc>
          <w:tcPr>
            <w:tcW w:w="6095" w:type="dxa"/>
          </w:tcPr>
          <w:p w14:paraId="0098FD0C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Los cambios en los requerimientos están estipulados en el contrato</w:t>
            </w:r>
          </w:p>
          <w:p w14:paraId="08306218" w14:textId="707EF65C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 xml:space="preserve">Los requerimientos no fueron tomados </w:t>
            </w:r>
            <w:r w:rsidR="00CC042A">
              <w:rPr>
                <w:rFonts w:ascii="Arial" w:hAnsi="Arial" w:cs="Arial"/>
                <w:sz w:val="24"/>
                <w:szCs w:val="24"/>
              </w:rPr>
              <w:t xml:space="preserve">de forma </w:t>
            </w:r>
            <w:r w:rsidRPr="00CC042A">
              <w:rPr>
                <w:rFonts w:ascii="Arial" w:hAnsi="Arial" w:cs="Arial"/>
                <w:sz w:val="24"/>
                <w:szCs w:val="24"/>
              </w:rPr>
              <w:t>correct</w:t>
            </w:r>
            <w:r w:rsidR="00CC042A">
              <w:rPr>
                <w:rFonts w:ascii="Arial" w:hAnsi="Arial" w:cs="Arial"/>
                <w:sz w:val="24"/>
                <w:szCs w:val="24"/>
              </w:rPr>
              <w:t>a</w:t>
            </w:r>
            <w:r w:rsidRPr="00CC042A">
              <w:rPr>
                <w:rFonts w:ascii="Arial" w:hAnsi="Arial" w:cs="Arial"/>
                <w:sz w:val="24"/>
                <w:szCs w:val="24"/>
              </w:rPr>
              <w:t xml:space="preserve"> suficiente</w:t>
            </w:r>
            <w:r w:rsidR="00CC042A">
              <w:rPr>
                <w:rFonts w:ascii="Arial" w:hAnsi="Arial" w:cs="Arial"/>
                <w:sz w:val="24"/>
                <w:szCs w:val="24"/>
              </w:rPr>
              <w:t>mente</w:t>
            </w:r>
          </w:p>
          <w:p w14:paraId="432FF70E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Los casos de uso no corresponden a los requerimientos obtenidos</w:t>
            </w:r>
          </w:p>
        </w:tc>
        <w:tc>
          <w:tcPr>
            <w:tcW w:w="1814" w:type="dxa"/>
          </w:tcPr>
          <w:p w14:paraId="2225AC3E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Fernando</w:t>
            </w:r>
          </w:p>
        </w:tc>
      </w:tr>
      <w:tr w:rsidR="00533370" w:rsidRPr="00CC042A" w14:paraId="17DD4228" w14:textId="77777777" w:rsidTr="00CC042A">
        <w:tc>
          <w:tcPr>
            <w:tcW w:w="2089" w:type="dxa"/>
          </w:tcPr>
          <w:p w14:paraId="2A76365A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Diagramas de actividad</w:t>
            </w:r>
          </w:p>
        </w:tc>
        <w:tc>
          <w:tcPr>
            <w:tcW w:w="3860" w:type="dxa"/>
          </w:tcPr>
          <w:p w14:paraId="140FF19D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Los procesos están mal representados en los modelos</w:t>
            </w:r>
          </w:p>
        </w:tc>
        <w:tc>
          <w:tcPr>
            <w:tcW w:w="6095" w:type="dxa"/>
          </w:tcPr>
          <w:p w14:paraId="42B4E27C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Afecta las decisiones del diseño</w:t>
            </w:r>
          </w:p>
          <w:p w14:paraId="30618FB5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cualquier cambio en los procesos debe estar en el contrato para realizar cambios</w:t>
            </w:r>
          </w:p>
        </w:tc>
        <w:tc>
          <w:tcPr>
            <w:tcW w:w="1814" w:type="dxa"/>
          </w:tcPr>
          <w:p w14:paraId="29D2D25F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Cesar</w:t>
            </w:r>
          </w:p>
        </w:tc>
      </w:tr>
      <w:tr w:rsidR="00533370" w:rsidRPr="00CC042A" w14:paraId="6640ED07" w14:textId="77777777" w:rsidTr="00CC042A">
        <w:tc>
          <w:tcPr>
            <w:tcW w:w="2089" w:type="dxa"/>
          </w:tcPr>
          <w:p w14:paraId="1E3FC27D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 xml:space="preserve">Diseño de </w:t>
            </w:r>
            <w:r w:rsidRPr="00CC042A">
              <w:rPr>
                <w:rFonts w:ascii="Arial" w:hAnsi="Arial" w:cs="Arial"/>
                <w:sz w:val="24"/>
                <w:szCs w:val="24"/>
                <w:u w:val="single"/>
              </w:rPr>
              <w:t>interfaz</w:t>
            </w:r>
          </w:p>
        </w:tc>
        <w:tc>
          <w:tcPr>
            <w:tcW w:w="3860" w:type="dxa"/>
          </w:tcPr>
          <w:p w14:paraId="0F14F39B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Interfaz demasiado compleja</w:t>
            </w:r>
          </w:p>
        </w:tc>
        <w:tc>
          <w:tcPr>
            <w:tcW w:w="6095" w:type="dxa"/>
          </w:tcPr>
          <w:p w14:paraId="31D22BA5" w14:textId="77777777" w:rsidR="00533370" w:rsidRPr="00CC042A" w:rsidRDefault="005333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4" w:type="dxa"/>
          </w:tcPr>
          <w:p w14:paraId="66E12478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Paola</w:t>
            </w:r>
          </w:p>
        </w:tc>
      </w:tr>
      <w:tr w:rsidR="00533370" w:rsidRPr="00CC042A" w14:paraId="1E802047" w14:textId="77777777" w:rsidTr="00CC042A">
        <w:tc>
          <w:tcPr>
            <w:tcW w:w="2089" w:type="dxa"/>
          </w:tcPr>
          <w:p w14:paraId="63D212C9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Prototipos</w:t>
            </w:r>
          </w:p>
        </w:tc>
        <w:tc>
          <w:tcPr>
            <w:tcW w:w="3860" w:type="dxa"/>
          </w:tcPr>
          <w:p w14:paraId="0D27A2C8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Los prototipos no cumplen con los requerimientos</w:t>
            </w:r>
          </w:p>
        </w:tc>
        <w:tc>
          <w:tcPr>
            <w:tcW w:w="6095" w:type="dxa"/>
          </w:tcPr>
          <w:p w14:paraId="449C8C80" w14:textId="77777777" w:rsidR="00533370" w:rsidRPr="00CC042A" w:rsidRDefault="00292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>Los requerimientos firmados no están correspondidos en los prototipos.</w:t>
            </w:r>
          </w:p>
        </w:tc>
        <w:tc>
          <w:tcPr>
            <w:tcW w:w="1814" w:type="dxa"/>
          </w:tcPr>
          <w:p w14:paraId="44C6ED08" w14:textId="77777777" w:rsidR="00533370" w:rsidRPr="00CC042A" w:rsidRDefault="0029253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042A">
              <w:rPr>
                <w:rFonts w:ascii="Arial" w:hAnsi="Arial" w:cs="Arial"/>
                <w:sz w:val="24"/>
                <w:szCs w:val="24"/>
              </w:rPr>
              <w:t xml:space="preserve">Giselle </w:t>
            </w:r>
          </w:p>
        </w:tc>
      </w:tr>
    </w:tbl>
    <w:p w14:paraId="64E75BA0" w14:textId="77777777" w:rsidR="00533370" w:rsidRDefault="00533370"/>
    <w:sectPr w:rsidR="00533370" w:rsidSect="00CC042A">
      <w:pgSz w:w="15840" w:h="12240" w:orient="landscape"/>
      <w:pgMar w:top="993" w:right="814" w:bottom="851" w:left="1134" w:header="708" w:footer="708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D472D"/>
    <w:multiLevelType w:val="multilevel"/>
    <w:tmpl w:val="B694DD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3370"/>
    <w:rsid w:val="00292534"/>
    <w:rsid w:val="003D5970"/>
    <w:rsid w:val="00533370"/>
    <w:rsid w:val="00BA2DC2"/>
    <w:rsid w:val="00CC042A"/>
    <w:rsid w:val="00EF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073C"/>
  <w15:docId w15:val="{9AB6A572-44F9-4518-A4C0-AADD0E5C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paragraph" w:styleId="Sinespaciado">
    <w:name w:val="No Spacing"/>
    <w:link w:val="SinespaciadoCar"/>
    <w:uiPriority w:val="1"/>
    <w:qFormat/>
    <w:rsid w:val="00292534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2534"/>
    <w:rPr>
      <w:rFonts w:asciiTheme="minorHAnsi" w:eastAsiaTheme="minorEastAsia" w:hAnsiTheme="minorHAnsi" w:cstheme="minorBidi"/>
      <w:lang w:val="en-US" w:eastAsia="en-US"/>
    </w:rPr>
  </w:style>
  <w:style w:type="character" w:styleId="nfasissutil">
    <w:name w:val="Subtle Emphasis"/>
    <w:basedOn w:val="Fuentedeprrafopredeter"/>
    <w:uiPriority w:val="19"/>
    <w:qFormat/>
    <w:rsid w:val="003D5970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3D597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5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88DC8-9EFB-4B28-8F1D-579B819BE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cambios</dc:title>
  <dc:subject>Sistema de denuncias Estudiantilies UV</dc:subject>
  <dc:creator>Alejo Díaz César JesúsCabrera Herrera Fernando MikhailLópez Benítez Paola MaraíVázquez Casas Laura Giselle</dc:creator>
  <cp:lastModifiedBy>Paola López Benítez</cp:lastModifiedBy>
  <cp:revision>3</cp:revision>
  <dcterms:created xsi:type="dcterms:W3CDTF">2018-10-17T15:57:00Z</dcterms:created>
  <dcterms:modified xsi:type="dcterms:W3CDTF">2018-10-17T16:48:00Z</dcterms:modified>
</cp:coreProperties>
</file>