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26402C" w:val="clear"/>
            <w:tcMar>
              <w:top w:type="dxa" w:w="2200"/>
              <w:left w:type="dxa" w:w="520"/>
              <w:bottom w:type="dxa" w:w="2200"/>
              <w:right w:type="dxa" w:w="520"/>
            </w:tcMar>
          </w:tcPr>
          <w:p>
            <w:pPr>
              <w:spacing w:after="220"/>
            </w:pPr>
            <w:r>
              <w:rPr>
                <w:rFonts w:ascii="Calibri" w:cs="Calibri" w:eastAsia="Calibri" w:hAnsi="Calibri"/>
                <w:b/>
                <w:bCs/>
                <w:color w:val="E3A94A"/>
                <w:spacing w:val="32"/>
                <w:sz w:val="19"/>
                <w:szCs w:val="19"/>
              </w:rPr>
              <w:t xml:space="preserve">RESUMEN DE PRODUCTO</w:t>
            </w:r>
          </w:p>
          <w:p>
            <w:pPr>
              <w:spacing w:after="22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96"/>
                <w:szCs w:val="96"/>
              </w:rPr>
              <w:t xml:space="preserve">Larder</w:t>
            </w:r>
          </w:p>
          <w:p>
            <w:pPr>
              <w:spacing w:after="500"/>
            </w:pPr>
            <w:r>
              <w:rPr>
                <w:rFonts w:ascii="Georgia" w:cs="Georgia" w:eastAsia="Georgia" w:hAnsi="Georgia"/>
                <w:i/>
                <w:iCs/>
                <w:color w:val="E7D9C6"/>
                <w:sz w:val="25"/>
                <w:szCs w:val="25"/>
              </w:rPr>
              <w:t xml:space="preserve">La lista de la compra se genera sola a partir de lo que hay en tu nevera.</w:t>
            </w:r>
          </w:p>
          <w:p>
            <w:pPr>
              <w:pBdr>
                <w:top w:val="single" w:color="5A4B3C" w:sz="3" w:space="10"/>
              </w:pBdr>
              <w:spacing w:after="40"/>
            </w:pPr>
            <w:r>
              <w:rPr>
                <w:rFonts w:ascii="Calibri" w:cs="Calibri" w:eastAsia="Calibri" w:hAnsi="Calibri"/>
                <w:color w:val="BFB0A0"/>
                <w:sz w:val="18"/>
                <w:szCs w:val="18"/>
              </w:rPr>
              <w:t xml:space="preserve">Septiembre 2026 · A Coruña</w:t>
            </w:r>
          </w:p>
          <w:p>
            <w:r>
              <w:rPr>
                <w:rFonts w:ascii="Calibri" w:cs="Calibri" w:eastAsia="Calibri" w:hAnsi="Calibri"/>
                <w:color w:val="BFB0A0"/>
                <w:sz w:val="18"/>
                <w:szCs w:val="18"/>
              </w:rPr>
              <w:t xml:space="preserve">Estudiantes en piso compartido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EL PROBLEMA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La lista de la compra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27"/>
        <w:gridCol w:w="160"/>
        <w:gridCol w:w="6493"/>
      </w:tblGrid>
      <w:tr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3427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427"/>
            </w:tblGrid>
            <w:tr>
              <w:tc>
                <w:tcPr>
                  <w:tcW w:type="dxa" w:w="3427"/>
                  <w:tcBorders>
                    <w:top w:val="single" w:color="26402C" w:sz="4"/>
                    <w:left w:val="single" w:color="26402C" w:sz="4"/>
                    <w:bottom w:val="single" w:color="26402C" w:sz="4"/>
                    <w:right w:val="single" w:color="26402C" w:sz="4"/>
                  </w:tcBorders>
                  <w:shd w:fill="26402C" w:val="clear"/>
                  <w:tcMar>
                    <w:top w:type="dxa" w:w="220"/>
                    <w:left w:type="dxa" w:w="220"/>
                    <w:bottom w:type="dxa" w:w="220"/>
                    <w:right w:type="dxa" w:w="220"/>
                  </w:tcMar>
                  <w:vAlign w:val="center"/>
                </w:tcPr>
                <w:p>
                  <w:pPr>
                    <w:spacing w:after="40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E3A94A"/>
                      <w:sz w:val="34"/>
                      <w:szCs w:val="34"/>
                    </w:rPr>
                    <w:t xml:space="preserve">200-400€</w:t>
                  </w:r>
                </w:p>
                <w:p>
                  <w:r>
                    <w:rPr>
                      <w:rFonts w:ascii="Calibri" w:cs="Calibri" w:eastAsia="Calibri" w:hAnsi="Calibri"/>
                      <w:color w:val="D8CBBE"/>
                      <w:sz w:val="17"/>
                      <w:szCs w:val="17"/>
                    </w:rPr>
                    <w:t xml:space="preserve">perdidos al año por hogar en compras mal planificadas</w:t>
                  </w:r>
                </w:p>
              </w:tc>
            </w:tr>
            <w:tr>
              <w:tc>
                <w:tcPr>
                  <w:tcW w:type="dxa" w:w="3427"/>
                  <w:tcBorders>
                    <w:top w:val="single" w:color="D6DED2" w:sz="4"/>
                    <w:left w:val="single" w:color="D6DED2" w:sz="4"/>
                    <w:bottom w:val="single" w:color="D6DED2" w:sz="4"/>
                    <w:right w:val="single" w:color="D6DED2" w:sz="4"/>
                  </w:tcBorders>
                  <w:shd w:fill="F2EFE7" w:val="clear"/>
                  <w:tcMar>
                    <w:top w:type="dxa" w:w="220"/>
                    <w:left w:type="dxa" w:w="220"/>
                    <w:bottom w:type="dxa" w:w="220"/>
                    <w:right w:type="dxa" w:w="220"/>
                  </w:tcMar>
                  <w:vAlign w:val="center"/>
                </w:tcPr>
                <w:p>
                  <w:pPr>
                    <w:spacing w:after="40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C6821E"/>
                      <w:sz w:val="34"/>
                      <w:szCs w:val="34"/>
                    </w:rPr>
                    <w:t xml:space="preserve">74%</w:t>
                  </w:r>
                </w:p>
                <w:p>
                  <w:r>
                    <w:rPr>
                      <w:rFonts w:ascii="Calibri" w:cs="Calibri" w:eastAsia="Calibri" w:hAnsi="Calibri"/>
                      <w:color w:val="5B6559"/>
                      <w:sz w:val="17"/>
                      <w:szCs w:val="17"/>
                    </w:rPr>
                    <w:t xml:space="preserve">compró algo duplicado el último mes</w:t>
                  </w:r>
                </w:p>
              </w:tc>
            </w:tr>
            <w:tr>
              <w:tc>
                <w:tcPr>
                  <w:tcW w:type="dxa" w:w="3427"/>
                  <w:tcBorders>
                    <w:top w:val="single" w:color="D6DED2" w:sz="4"/>
                    <w:left w:val="single" w:color="D6DED2" w:sz="4"/>
                    <w:bottom w:val="single" w:color="D6DED2" w:sz="4"/>
                    <w:right w:val="single" w:color="D6DED2" w:sz="4"/>
                  </w:tcBorders>
                  <w:shd w:fill="F2EFE7" w:val="clear"/>
                  <w:tcMar>
                    <w:top w:type="dxa" w:w="220"/>
                    <w:left w:type="dxa" w:w="220"/>
                    <w:bottom w:type="dxa" w:w="220"/>
                    <w:right w:type="dxa" w:w="220"/>
                  </w:tcMar>
                  <w:vAlign w:val="center"/>
                </w:tcPr>
                <w:p>
                  <w:pPr>
                    <w:spacing w:after="40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C6821E"/>
                      <w:sz w:val="34"/>
                      <w:szCs w:val="34"/>
                    </w:rPr>
                    <w:t xml:space="preserve">74%</w:t>
                  </w:r>
                </w:p>
                <w:p>
                  <w:r>
                    <w:rPr>
                      <w:rFonts w:ascii="Calibri" w:cs="Calibri" w:eastAsia="Calibri" w:hAnsi="Calibri"/>
                      <w:color w:val="5B6559"/>
                      <w:sz w:val="17"/>
                      <w:szCs w:val="17"/>
                    </w:rPr>
                    <w:t xml:space="preserve">volvió a la tienda por algo olvidado</w:t>
                  </w:r>
                </w:p>
              </w:tc>
            </w:tr>
          </w:tbl>
          <w:p/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64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160" w:line="310"/>
            </w:pPr>
            <w:r>
              <w:rPr>
                <w:rFonts w:ascii="Calibri" w:cs="Calibri" w:eastAsia="Calibri" w:hAnsi="Calibri"/>
                <w:color w:val="1F2A1F"/>
                <w:sz w:val="21"/>
                <w:szCs w:val="21"/>
              </w:rPr>
              <w:t xml:space="preserve">Cualquier hogar que comparte compra vive el mismo ciclo: se hace la lista a ojo, alguien va a la tienda sin saber bien qué queda en casa, y el resultado son compras duplicadas o viajes de vuelta por algo olvidado.</w:t>
            </w:r>
          </w:p>
          <w:p>
            <w:pPr>
              <w:spacing w:after="160" w:line="310"/>
            </w:pPr>
            <w:r>
              <w:rPr>
                <w:rFonts w:ascii="Calibri" w:cs="Calibri" w:eastAsia="Calibri" w:hAnsi="Calibri"/>
                <w:color w:val="1F2A1F"/>
                <w:sz w:val="21"/>
                <w:szCs w:val="21"/>
              </w:rPr>
              <w:t xml:space="preserve">Es un problema pequeño cada vez, pero constante — y se paga en tiempo y en dinero, semana tras semana, en cualquier piso que reparte la compra entre varias personas.</w:t>
            </w:r>
          </w:p>
          <w:p>
            <w:pPr>
              <w:spacing w:after="160" w:line="310"/>
            </w:pPr>
            <w:r>
              <w:rPr>
                <w:rFonts w:ascii="Calibri" w:cs="Calibri" w:eastAsia="Calibri" w:hAnsi="Calibri"/>
                <w:i/>
                <w:iCs/>
                <w:color w:val="5B6559"/>
                <w:sz w:val="19"/>
                <w:szCs w:val="19"/>
              </w:rPr>
              <w:t xml:space="preserve">Dato validado con una encuesta propia a 35 personas (piso compartido, ES/EN) sobre hechos del último mes, no opiniones sobre una app futura. El 54% sufrió ambos problemas en el mismo mes.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POR QUÉ NO BASTA LO QUE YA EXISTE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Las apps de listas ya existen. El problema no se ha resuelto.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E3A94A"/>
                <w:sz w:val="34"/>
                <w:szCs w:val="34"/>
              </w:rPr>
              <w:t xml:space="preserve">0%</w:t>
            </w:r>
          </w:p>
          <w:p>
            <w:r>
              <w:rPr>
                <w:rFonts w:ascii="Calibri" w:cs="Calibri" w:eastAsia="Calibri" w:hAnsi="Calibri"/>
                <w:color w:val="D8CBBE"/>
                <w:sz w:val="17"/>
                <w:szCs w:val="17"/>
              </w:rPr>
              <w:t xml:space="preserve">usa hoy una app específica de lista de la compra</w:t>
            </w:r>
          </w:p>
        </w:tc>
        <w:tc>
          <w:tcPr>
            <w:tcW w:type="dxa" w:w="504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4"/>
                <w:szCs w:val="34"/>
              </w:rPr>
              <w:t xml:space="preserve">3</w:t>
            </w:r>
          </w:p>
          <w:p>
            <w:r>
              <w:rPr>
                <w:rFonts w:ascii="Calibri" w:cs="Calibri" w:eastAsia="Calibri" w:hAnsi="Calibri"/>
                <w:color w:val="5B6559"/>
                <w:sz w:val="17"/>
                <w:szCs w:val="17"/>
              </w:rPr>
              <w:t xml:space="preserve">personas probaron una app alguna vez — 0 la siguen usando</w:t>
            </w:r>
          </w:p>
        </w:tc>
      </w:tr>
    </w:tbl>
    <w:p>
      <w:pPr>
        <w:spacing w:after="220"/>
      </w:pPr>
    </w:p>
    <w:p>
      <w:pPr>
        <w:spacing w:after="160" w:line="310"/>
      </w:pPr>
      <w:r>
        <w:rPr>
          <w:rFonts w:ascii="Calibri" w:cs="Calibri" w:eastAsia="Calibri" w:hAnsi="Calibri"/>
          <w:color w:val="1F2A1F"/>
          <w:sz w:val="21"/>
          <w:szCs w:val="21"/>
        </w:rPr>
        <w:t xml:space="preserve">El motivo no es falta de opciones: es que ninguna resuelve el acto simple de saber qué hay ya en casa antes de comprar.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22"/>
        <w:gridCol w:w="7257"/>
      </w:tblGrid>
      <w:tr>
        <w:trPr>
          <w:tblHeader/>
        </w:trPr>
        <w:tc>
          <w:tcPr>
            <w:tcW w:type="dxa" w:w="2822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Solución</w:t>
            </w:r>
          </w:p>
        </w:tc>
        <w:tc>
          <w:tcPr>
            <w:tcW w:type="dxa" w:w="7257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Por qué no basta</w:t>
            </w:r>
          </w:p>
        </w:tc>
      </w:tr>
      <w:tr>
        <w:tc>
          <w:tcPr>
            <w:tcW w:type="dxa" w:w="2822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Papel y boli</w:t>
            </w:r>
          </w:p>
        </w:tc>
        <w:tc>
          <w:tcPr>
            <w:tcW w:type="dxa" w:w="7257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Rápido, pero se pierde y no se comparte.</w:t>
            </w:r>
          </w:p>
        </w:tc>
      </w:tr>
      <w:tr>
        <w:tc>
          <w:tcPr>
            <w:tcW w:type="dxa" w:w="2822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Notas del móvil</w:t>
            </w:r>
          </w:p>
        </w:tc>
        <w:tc>
          <w:tcPr>
            <w:tcW w:type="dxa" w:w="7257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La opción más usada — pero no se coedita en tiempo real entre convivientes.</w:t>
            </w:r>
          </w:p>
        </w:tc>
      </w:tr>
      <w:tr>
        <w:tc>
          <w:tcPr>
            <w:tcW w:type="dxa" w:w="2822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Bring! — 4.7★ App Store</w:t>
            </w:r>
          </w:p>
        </w:tc>
        <w:tc>
          <w:tcPr>
            <w:tcW w:type="dxa" w:w="7257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Colaborativa, pero con fricción al añadir items y enfocada en recetas ("Inspiración") más que en compartir la nevera.</w:t>
            </w:r>
          </w:p>
        </w:tc>
      </w:tr>
      <w:tr>
        <w:tc>
          <w:tcPr>
            <w:tcW w:type="dxa" w:w="2822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AnyList — 4.6★ App Store</w:t>
            </w:r>
          </w:p>
        </w:tc>
        <w:tc>
          <w:tcPr>
            <w:tcW w:type="dxa" w:w="7257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Reconocimiento inteligente al escribir, pero todo el valor extra apunta a cocinar, no a compartir la nevera.</w:t>
            </w:r>
          </w:p>
        </w:tc>
      </w:tr>
    </w:tbl>
    <w:p>
      <w:pPr>
        <w:spacing w:after="20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C6821E" w:sz="24"/>
              <w:bottom w:val="none" w:color="FFFFFF" w:sz="0"/>
              <w:right w:val="none" w:color="FFFFFF" w:sz="0"/>
            </w:tcBorders>
            <w:shd w:fill="E9E4D6" w:val="clear"/>
            <w:tcMar>
              <w:top w:type="dxa" w:w="200"/>
              <w:left w:type="dxa" w:w="280"/>
              <w:bottom w:type="dxa" w:w="200"/>
              <w:right w:type="dxa" w:w="220"/>
            </w:tcMar>
          </w:tcPr>
          <w:p>
            <w:r>
              <w:rPr>
                <w:rFonts w:ascii="Georgia" w:cs="Georgia" w:eastAsia="Georgia" w:hAnsi="Georgia"/>
                <w:i/>
                <w:iCs/>
                <w:color w:val="1F2A1F"/>
                <w:sz w:val="25"/>
                <w:szCs w:val="25"/>
              </w:rPr>
              <w:t xml:space="preserve">El hueco real no es "una lista más bonita" — es una herramienta tan rápida como Notas, tan colaborativa como Bring!, que además muestra qué hay en casa sin que nadie tenga que contarlo a mano.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LA SOLUCIÓN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No mantienes una lista. Mantienes tu nevera — y la lista sale sola.</w:t>
      </w:r>
    </w:p>
    <w:p>
      <w:pPr>
        <w:spacing w:after="160" w:line="310"/>
      </w:pPr>
      <w:r>
        <w:rPr>
          <w:rFonts w:ascii="Calibri" w:cs="Calibri" w:eastAsia="Calibri" w:hAnsi="Calibri"/>
          <w:color w:val="1F2A1F"/>
          <w:sz w:val="21"/>
          <w:szCs w:val="21"/>
        </w:rPr>
        <w:t xml:space="preserve">Larder invierte el orden: en vez de escribir lo que falta, el hogar marca en un toque lo que hay. La lista de la compra se genera automáticamente a partir de eso, compartida y sin fricción.</w:t>
      </w:r>
    </w:p>
    <w:p>
      <w:pPr>
        <w:spacing w:after="8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60"/>
        <w:gridCol w:w="4960"/>
      </w:tblGrid>
      <w:tr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01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Fridge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Cada producto tiene 3 estados — bien / queda poco / se acabó — sin cantidades ni contar unidades. Se marca con un toque.</w:t>
            </w:r>
          </w:p>
        </w:tc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E9E4D6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List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Sacando una foto al ticket de la compra, la lista se genera sola — sin teclear nada.</w:t>
            </w:r>
          </w:p>
        </w:tc>
      </w:tr>
      <w:tr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E9E4D6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03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Compra en grupo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Todo el piso ve al momento quién compra qué, en tiempo real, sin duplicados.</w:t>
            </w:r>
          </w:p>
        </w:tc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04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History / Prices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Queda registrado quién compró qué y quién debe qué, y dónde sale más barato cada producto, sobre el historial propio.</w:t>
            </w:r>
          </w:p>
        </w:tc>
      </w:tr>
    </w:tbl>
    <w:p>
      <w:pPr>
        <w:spacing w:after="20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2640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3A94A"/>
                <w:sz w:val="20"/>
                <w:szCs w:val="20"/>
              </w:rPr>
              <w:t xml:space="preserve">La rebanada vertical, en una frase: 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20"/>
                <w:szCs w:val="20"/>
              </w:rPr>
              <w:t xml:space="preserve">"Un hogar deja de escribir la lista de la compra: la nevera se rellena sola al comprar, avisa cuando algo se acaba, y la lista sale de ahí."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VALIDACIÓN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Lo que dice quien vive el problema</w:t>
      </w:r>
    </w:p>
    <w:p>
      <w:pPr>
        <w:spacing w:after="160" w:line="310"/>
      </w:pPr>
      <w:r>
        <w:rPr>
          <w:rFonts w:ascii="Calibri" w:cs="Calibri" w:eastAsia="Calibri" w:hAnsi="Calibri"/>
          <w:i/>
          <w:iCs/>
          <w:color w:val="5B6559"/>
          <w:sz w:val="19"/>
          <w:szCs w:val="19"/>
        </w:rPr>
        <w:t xml:space="preserve">Pregunta abierta de la encuesta: "¿qué es lo que más te frustra de gestionar la compra o la nevera?" — nadie vio el prototipo antes de responder.</w:t>
      </w:r>
    </w:p>
    <w:p>
      <w:pPr>
        <w:spacing w:after="8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24"/>
        <w:gridCol w:w="7056"/>
      </w:tblGrid>
      <w:tr>
        <w:trPr>
          <w:tblHeader/>
        </w:trPr>
        <w:tc>
          <w:tcPr>
            <w:tcW w:type="dxa" w:w="3024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056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Cita / dato</w:t>
            </w:r>
          </w:p>
        </w:tc>
      </w:tr>
      <w:tr>
        <w:tc>
          <w:tcPr>
            <w:tcW w:type="dxa" w:w="302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Cooperación — 8/35 · 23%</w:t>
            </w:r>
          </w:p>
        </w:tc>
        <w:tc>
          <w:tcPr>
            <w:tcW w:type="dxa" w:w="7056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"No sé quién compró qué" · "People eating my food" · "Que compran cosas que no quiero" — el tema más repetido, sin que se preguntara por él.</w:t>
            </w:r>
          </w:p>
        </w:tc>
      </w:tr>
      <w:tr>
        <w:tc>
          <w:tcPr>
            <w:tcW w:type="dxa" w:w="302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Tracker de gastos — 12/35 · 34%</w:t>
            </w:r>
          </w:p>
        </w:tc>
        <w:tc>
          <w:tcPr>
            <w:tcW w:type="dxa" w:w="7056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"Que la gente no participe a la hora de hacer la compra o que tarden en pagar cuando dividimos gastos" — resuelto por History.</w:t>
            </w:r>
          </w:p>
        </w:tc>
      </w:tr>
      <w:tr>
        <w:tc>
          <w:tcPr>
            <w:tcW w:type="dxa" w:w="302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Caducidad — 3 menciones</w:t>
            </w:r>
          </w:p>
        </w:tc>
        <w:tc>
          <w:tcPr>
            <w:tcW w:type="dxa" w:w="7056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"Cuando la gente deja la comida en la nevera durante mucho tiempo y se estropea."</w:t>
            </w:r>
          </w:p>
        </w:tc>
      </w:tr>
      <w:tr>
        <w:tc>
          <w:tcPr>
            <w:tcW w:type="dxa" w:w="302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Se acaba y nadie avisa — Galicia</w:t>
            </w:r>
          </w:p>
        </w:tc>
        <w:tc>
          <w:tcPr>
            <w:tcW w:type="dxa" w:w="7056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"Pois supoño que cando algo se acabe ninguén avise" — resuelto gratis en cuanto Fridge es una vista compartida.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ALCANCE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Qué construimos, y qué no</w:t>
      </w:r>
    </w:p>
    <w:p>
      <w:pPr>
        <w:spacing w:after="160" w:line="310"/>
      </w:pPr>
      <w:r>
        <w:rPr>
          <w:rFonts w:ascii="Calibri" w:cs="Calibri" w:eastAsia="Calibri" w:hAnsi="Calibri"/>
          <w:color w:val="1F2A1F"/>
          <w:sz w:val="21"/>
          <w:szCs w:val="21"/>
        </w:rPr>
        <w:t xml:space="preserve">El giro de producto retira lo que un servicio externo gratuito ya resuelve mejor, y deja fuera lo que nadie os elegiría por construir.</w:t>
      </w:r>
    </w:p>
    <w:p>
      <w:pPr>
        <w:spacing w:after="8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27"/>
        <w:gridCol w:w="3326"/>
        <w:gridCol w:w="3326"/>
      </w:tblGrid>
      <w:tr>
        <w:trPr>
          <w:tblHeader/>
        </w:trPr>
        <w:tc>
          <w:tcPr>
            <w:tcW w:type="dxa" w:w="3427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construimos</w:t>
            </w:r>
          </w:p>
        </w:tc>
        <w:tc>
          <w:tcPr>
            <w:tcW w:type="dxa" w:w="3326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hace un servicio externo</w:t>
            </w:r>
          </w:p>
        </w:tc>
        <w:tc>
          <w:tcPr>
            <w:tcW w:type="dxa" w:w="3326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 se hace este curso</w:t>
            </w:r>
          </w:p>
        </w:tc>
      </w:tr>
      <w:tr>
        <w:tc>
          <w:tcPr>
            <w:tcW w:type="dxa" w:w="3427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Fridge de 3 estados · List que se genera sola, con concurrencia · History (quién debe qué) · Prices sobre el propio historial · Predicción de reposición</w:t>
            </w:r>
          </w:p>
        </w:tc>
        <w:tc>
          <w:tcPr>
            <w:tcW w:type="dxa" w:w="3326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Diccionario de productos (Open Food Facts) · Lectura de tickets (Groq, único uso de IA) · Aviso de turno de compra (bot de Telegram)</w:t>
            </w:r>
          </w:p>
        </w:tc>
        <w:tc>
          <w:tcPr>
            <w:tcW w:type="dxa" w:w="3326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Escaneo de código de barras · Cobro real con tarjeta · Liquidar deudas de verdad · Notificaciones push nativas (Telegram es la excepción)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MERCADO Y VALIDACIÓN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Un punto de partida concreto, con margen para crecer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20"/>
        <w:gridCol w:w="1814"/>
        <w:gridCol w:w="5644"/>
      </w:tblGrid>
      <w:tr>
        <w:trPr>
          <w:tblHeader/>
        </w:trPr>
        <w:tc>
          <w:tcPr>
            <w:tcW w:type="dxa" w:w="2620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14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Cifra</w:t>
            </w:r>
          </w:p>
        </w:tc>
        <w:tc>
          <w:tcPr>
            <w:tcW w:type="dxa" w:w="5644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Cómo se llega ahí</w:t>
            </w:r>
          </w:p>
        </w:tc>
      </w:tr>
      <w:tr>
        <w:tc>
          <w:tcPr>
            <w:tcW w:type="dxa" w:w="262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Mercado total</w:t>
            </w:r>
          </w:p>
        </w:tc>
        <w:tc>
          <w:tcPr>
            <w:tcW w:type="dxa" w:w="181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&gt;13.300</w:t>
            </w:r>
          </w:p>
        </w:tc>
        <w:tc>
          <w:tcPr>
            <w:tcW w:type="dxa" w:w="564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Estudiantes matriculados en la UDC (curso 2025-26)</w:t>
            </w:r>
          </w:p>
        </w:tc>
      </w:tr>
      <w:tr>
        <w:tc>
          <w:tcPr>
            <w:tcW w:type="dxa" w:w="262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Mercado accesible</w:t>
            </w:r>
          </w:p>
        </w:tc>
        <w:tc>
          <w:tcPr>
            <w:tcW w:type="dxa" w:w="181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≈4.123</w:t>
            </w:r>
          </w:p>
        </w:tc>
        <w:tc>
          <w:tcPr>
            <w:tcW w:type="dxa" w:w="564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31% de universitarios cambia de ciudad para estudiar (Fundación CYD)</w:t>
            </w:r>
          </w:p>
        </w:tc>
      </w:tr>
      <w:tr>
        <w:tc>
          <w:tcPr>
            <w:tcW w:type="dxa" w:w="262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Mercado objetivo</w:t>
            </w:r>
          </w:p>
        </w:tc>
        <w:tc>
          <w:tcPr>
            <w:tcW w:type="dxa" w:w="181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≈650 pisos</w:t>
            </w:r>
          </w:p>
        </w:tc>
        <w:tc>
          <w:tcPr>
            <w:tcW w:type="dxa" w:w="564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55% de esos comparte piso ÷ 3,5 personas/piso de media</w:t>
            </w:r>
          </w:p>
        </w:tc>
      </w:tr>
    </w:tbl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E3A94A"/>
                <w:sz w:val="34"/>
                <w:szCs w:val="34"/>
              </w:rPr>
              <w:t xml:space="preserve">0 €</w:t>
            </w:r>
          </w:p>
          <w:p>
            <w:r>
              <w:rPr>
                <w:rFonts w:ascii="Calibri" w:cs="Calibri" w:eastAsia="Calibri" w:hAnsi="Calibri"/>
                <w:color w:val="D8CBBE"/>
                <w:sz w:val="17"/>
                <w:szCs w:val="17"/>
              </w:rPr>
              <w:t xml:space="preserve">coste fijo — stack construido sobre niveles gratuitos</w:t>
            </w:r>
          </w:p>
        </w:tc>
        <w:tc>
          <w:tcPr>
            <w:tcW w:type="dxa" w:w="504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4"/>
                <w:szCs w:val="34"/>
              </w:rPr>
              <w:t xml:space="preserve">650</w:t>
            </w:r>
          </w:p>
          <w:p>
            <w:r>
              <w:rPr>
                <w:rFonts w:ascii="Calibri" w:cs="Calibri" w:eastAsia="Calibri" w:hAnsi="Calibri"/>
                <w:color w:val="5B6559"/>
                <w:sz w:val="17"/>
                <w:szCs w:val="17"/>
              </w:rPr>
              <w:t xml:space="preserve">pisos de estudiantes como mercado objetivo inicial</w:t>
            </w:r>
          </w:p>
        </w:tc>
      </w:tr>
    </w:tbl>
    <w:p>
      <w:pPr>
        <w:spacing w:after="220"/>
      </w:pPr>
    </w:p>
    <w:p>
      <w:pPr>
        <w:spacing w:after="160" w:line="310"/>
      </w:pPr>
      <w:r>
        <w:rPr>
          <w:rFonts w:ascii="Calibri" w:cs="Calibri" w:eastAsia="Calibri" w:hAnsi="Calibri"/>
          <w:color w:val="1F2A1F"/>
          <w:sz w:val="21"/>
          <w:szCs w:val="21"/>
        </w:rPr>
        <w:t xml:space="preserve">El punto de entrada es directo: el propio hogar es el primer usuario real, sin necesidad de convencer a nadie externo para la primera prueba. El criterio de éxito es adopción real, no ingresos.</w:t>
      </w:r>
    </w:p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PRÓXIMOS PASOS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De la idea validada al producto en uso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60"/>
        <w:gridCol w:w="4960"/>
      </w:tblGrid>
      <w:tr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01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Fridge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Terminar la pantalla de la nevera con el modelo de 3 estados, sin cantidades.</w:t>
            </w:r>
          </w:p>
        </w:tc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E9E4D6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Backend real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Base de datos persistente (Postgres) sustituyendo el estado local del prototipo.</w:t>
            </w:r>
          </w:p>
        </w:tc>
      </w:tr>
      <w:tr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E9E4D6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03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List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Generación automática con control de concurrencia — dos personas marcando a la vez.</w:t>
            </w:r>
          </w:p>
        </w:tc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04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History / Prices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Lectura automática de tickets de compra y comparador de precios sobre el historial propio.</w:t>
            </w:r>
          </w:p>
        </w:tc>
      </w:tr>
    </w:tbl>
    <w:p>
      <w:pPr>
        <w:spacing w:after="220"/>
      </w:pPr>
    </w:p>
    <w:p>
      <w:pPr>
        <w:pBdr>
          <w:bottom w:val="single" w:color="D6DED2" w:sz="4" w:space="1"/>
        </w:pBdr>
        <w:spacing w:after="220" w:before="100"/>
      </w:pP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F2A1F"/>
          <w:sz w:val="21"/>
          <w:szCs w:val="21"/>
        </w:rPr>
        <w:t xml:space="preserve">Larder — </w:t>
      </w:r>
      <w:r>
        <w:rPr>
          <w:rFonts w:ascii="Calibri" w:cs="Calibri" w:eastAsia="Calibri" w:hAnsi="Calibri"/>
          <w:color w:val="5B6559"/>
          <w:sz w:val="21"/>
          <w:szCs w:val="21"/>
        </w:rPr>
        <w:t xml:space="preserve">validado con un hogar real, una encuesta propia de 35 respuestas, y un plan de construcción sin coste fijo.</w:t>
      </w:r>
    </w:p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ANEXO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Glosario y fuentes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F2A1F"/>
          <w:sz w:val="21"/>
          <w:szCs w:val="21"/>
        </w:rPr>
        <w:t xml:space="preserve">Fridge — </w:t>
      </w:r>
      <w:r>
        <w:rPr>
          <w:rFonts w:ascii="Calibri" w:cs="Calibri" w:eastAsia="Calibri" w:hAnsi="Calibri"/>
          <w:color w:val="5B6559"/>
          <w:sz w:val="21"/>
          <w:szCs w:val="21"/>
        </w:rPr>
        <w:t xml:space="preserve">Pantalla de la nevera compartida del hogar. Cada producto tiene 3 estados (bien / queda poco / se acabó), sin cantidades.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F2A1F"/>
          <w:sz w:val="21"/>
          <w:szCs w:val="21"/>
        </w:rPr>
        <w:t xml:space="preserve">Lista — </w:t>
      </w:r>
      <w:r>
        <w:rPr>
          <w:rFonts w:ascii="Calibri" w:cs="Calibri" w:eastAsia="Calibri" w:hAnsi="Calibri"/>
          <w:color w:val="5B6559"/>
          <w:sz w:val="21"/>
          <w:szCs w:val="21"/>
        </w:rPr>
        <w:t xml:space="preserve">Lista de la compra generada automáticamente a partir de los productos marcados "se acabó" en Fridge.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F2A1F"/>
          <w:sz w:val="21"/>
          <w:szCs w:val="21"/>
        </w:rPr>
        <w:t xml:space="preserve">History — </w:t>
      </w:r>
      <w:r>
        <w:rPr>
          <w:rFonts w:ascii="Calibri" w:cs="Calibri" w:eastAsia="Calibri" w:hAnsi="Calibri"/>
          <w:color w:val="5B6559"/>
          <w:sz w:val="21"/>
          <w:szCs w:val="21"/>
        </w:rPr>
        <w:t xml:space="preserve">Historial de compras del hogar: quién compró qué y quién debe qué.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F2A1F"/>
          <w:sz w:val="21"/>
          <w:szCs w:val="21"/>
        </w:rPr>
        <w:t xml:space="preserve">Prices — </w:t>
      </w:r>
      <w:r>
        <w:rPr>
          <w:rFonts w:ascii="Calibri" w:cs="Calibri" w:eastAsia="Calibri" w:hAnsi="Calibri"/>
          <w:color w:val="5B6559"/>
          <w:sz w:val="21"/>
          <w:szCs w:val="21"/>
        </w:rPr>
        <w:t xml:space="preserve">Comparador de precios por tienda, calculado sobre el propio historial de compras del hogar.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F2A1F"/>
          <w:sz w:val="21"/>
          <w:szCs w:val="21"/>
        </w:rPr>
        <w:t xml:space="preserve">Mercado accesible / objetivo — </w:t>
      </w:r>
      <w:r>
        <w:rPr>
          <w:rFonts w:ascii="Calibri" w:cs="Calibri" w:eastAsia="Calibri" w:hAnsi="Calibri"/>
          <w:color w:val="5B6559"/>
          <w:sz w:val="21"/>
          <w:szCs w:val="21"/>
        </w:rPr>
        <w:t xml:space="preserve">Segmentación del mercado potencial en niveles decrecientes de alcance real.</w:t>
      </w:r>
    </w:p>
    <w:p>
      <w:pPr>
        <w:spacing w:after="160"/>
      </w:pPr>
    </w:p>
    <w:p>
      <w:pPr>
        <w:spacing w:after="140" w:before="40"/>
      </w:pPr>
      <w:r>
        <w:rPr>
          <w:rFonts w:ascii="Georgia" w:cs="Georgia" w:eastAsia="Georgia" w:hAnsi="Georgia"/>
          <w:b/>
          <w:bCs/>
          <w:color w:val="1F2A1F"/>
          <w:sz w:val="24"/>
          <w:szCs w:val="24"/>
        </w:rPr>
        <w:t xml:space="preserve">Fuentes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A1F"/>
          <w:sz w:val="20"/>
          <w:szCs w:val="20"/>
        </w:rPr>
        <w:t xml:space="preserve">Tamaño medio del hogar en España (2023): </w:t>
      </w:r>
      <w:hyperlink w:history="1" r:id="rId3yqxbktnozssf4wz29weh">
        <w:r>
          <w:rPr>
            <w:rFonts w:ascii="Calibri" w:cs="Calibri" w:eastAsia="Calibri" w:hAnsi="Calibri"/>
            <w:color w:val="C6821E"/>
            <w:sz w:val="20"/>
            <w:szCs w:val="20"/>
            <w:u w:val="single"/>
          </w:rPr>
          <w:t xml:space="preserve">https://www.ine.es/jaxiT3/Tabla.htm?t=60132</w:t>
        </w:r>
      </w:hyperlink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A1F"/>
          <w:sz w:val="20"/>
          <w:szCs w:val="20"/>
        </w:rPr>
        <w:t xml:space="preserve">Población de A Coruña (INE/IGE, 2024): </w:t>
      </w:r>
      <w:hyperlink w:history="1" r:id="rIdbv8aia8bdn0namjbxtrix">
        <w:r>
          <w:rPr>
            <w:rFonts w:ascii="Calibri" w:cs="Calibri" w:eastAsia="Calibri" w:hAnsi="Calibri"/>
            <w:color w:val="C6821E"/>
            <w:sz w:val="20"/>
            <w:szCs w:val="20"/>
            <w:u w:val="single"/>
          </w:rPr>
          <w:t xml:space="preserve">https://hoydiario.es/noticias/galicia/demografia/poblacion-coruna-ine-2024.html</w:t>
        </w:r>
      </w:hyperlink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A1F"/>
          <w:sz w:val="20"/>
          <w:szCs w:val="20"/>
        </w:rPr>
        <w:t xml:space="preserve">% de universitarios que cambia de ciudad para estudiar: </w:t>
      </w:r>
      <w:hyperlink w:history="1" r:id="rIdewux69fcb8gsqlmiv0evu">
        <w:r>
          <w:rPr>
            <w:rFonts w:ascii="Calibri" w:cs="Calibri" w:eastAsia="Calibri" w:hAnsi="Calibri"/>
            <w:color w:val="C6821E"/>
            <w:sz w:val="20"/>
            <w:szCs w:val="20"/>
            <w:u w:val="single"/>
          </w:rPr>
          <w:t xml:space="preserve">https://www.fundacioncyd.org/</w:t>
        </w:r>
      </w:hyperlink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A1F"/>
          <w:sz w:val="20"/>
          <w:szCs w:val="20"/>
        </w:rPr>
        <w:t xml:space="preserve">Bring! Grocery Shopping List: </w:t>
      </w:r>
      <w:hyperlink w:history="1" r:id="rIdsxus6l1zrxsb--6am9bjh">
        <w:r>
          <w:rPr>
            <w:rFonts w:ascii="Calibri" w:cs="Calibri" w:eastAsia="Calibri" w:hAnsi="Calibri"/>
            <w:color w:val="C6821E"/>
            <w:sz w:val="20"/>
            <w:szCs w:val="20"/>
            <w:u w:val="single"/>
          </w:rPr>
          <w:t xml:space="preserve">https://apps.apple.com/us/app/bring-grocery-shopping-list/id580669177</w:t>
        </w:r>
      </w:hyperlink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A1F"/>
          <w:sz w:val="20"/>
          <w:szCs w:val="20"/>
        </w:rPr>
        <w:t xml:space="preserve">AnyList: Grocery Shopping List: </w:t>
      </w:r>
      <w:hyperlink w:history="1" r:id="rIdf4cyfvhwtmk1f98-kqyez">
        <w:r>
          <w:rPr>
            <w:rFonts w:ascii="Calibri" w:cs="Calibri" w:eastAsia="Calibri" w:hAnsi="Calibri"/>
            <w:color w:val="C6821E"/>
            <w:sz w:val="20"/>
            <w:szCs w:val="20"/>
            <w:u w:val="single"/>
          </w:rPr>
          <w:t xml:space="preserve">https://justuseapp.com/en/app/522167641/anylist-grocery-shopping-list/reviews</w:t>
        </w:r>
      </w:hyperlink>
    </w:p>
    <w:p>
      <w:pPr>
        <w:spacing w:after="120"/>
      </w:pPr>
    </w:p>
    <w:p>
      <w:pPr>
        <w:spacing w:after="160" w:line="310"/>
      </w:pPr>
      <w:r>
        <w:rPr>
          <w:rFonts w:ascii="Calibri" w:cs="Calibri" w:eastAsia="Calibri" w:hAnsi="Calibri"/>
          <w:i/>
          <w:iCs/>
          <w:color w:val="5B6559"/>
          <w:sz w:val="19"/>
          <w:szCs w:val="19"/>
        </w:rPr>
        <w:t xml:space="preserve">Encuesta propia: 35 respuestas únicas, cuestionario bilingüe (ES/EN), recogidas hasta el 17/09/2026. Matriculados UDC: dato directo de la universidad, curso 2025-26.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2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559"/>
        <w:sz w:val="15"/>
        <w:szCs w:val="15"/>
      </w:rPr>
      <w:t xml:space="preserve">Larder · </w:t>
    </w:r>
    <w:r>
      <w:rPr>
        <w:rFonts w:ascii="Calibri" w:cs="Calibri" w:eastAsia="Calibri" w:hAnsi="Calibri"/>
        <w:color w:val="5B655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2" w:sz="3" w:space="6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C6821E"/>
        <w:spacing w:val="20"/>
        <w:sz w:val="15"/>
        <w:szCs w:val="15"/>
      </w:rPr>
      <w:t xml:space="preserve">LARDER</w:t>
    </w:r>
    <w:r>
      <w:rPr>
        <w:rFonts w:ascii="Calibri" w:cs="Calibri" w:eastAsia="Calibri" w:hAnsi="Calibri"/>
        <w:color w:val="5B6559"/>
        <w:spacing w:val="20"/>
        <w:sz w:val="15"/>
        <w:szCs w:val="15"/>
      </w:rPr>
      <w:t xml:space="preserve">	RESUMEN DE PRODUCTO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3yqxbktnozssf4wz29weh" Type="http://schemas.openxmlformats.org/officeDocument/2006/relationships/hyperlink" Target="https://www.ine.es/jaxiT3/Tabla.htm?t=60132" TargetMode="External"/><Relationship Id="rIdbv8aia8bdn0namjbxtrix" Type="http://schemas.openxmlformats.org/officeDocument/2006/relationships/hyperlink" Target="https://hoydiario.es/noticias/galicia/demografia/poblacion-coruna-ine-2024.html" TargetMode="External"/><Relationship Id="rIdewux69fcb8gsqlmiv0evu" Type="http://schemas.openxmlformats.org/officeDocument/2006/relationships/hyperlink" Target="https://www.fundacioncyd.org/" TargetMode="External"/><Relationship Id="rIdsxus6l1zrxsb--6am9bjh" Type="http://schemas.openxmlformats.org/officeDocument/2006/relationships/hyperlink" Target="https://apps.apple.com/us/app/bring-grocery-shopping-list/id580669177" TargetMode="External"/><Relationship Id="rIdf4cyfvhwtmk1f98-kqyez" Type="http://schemas.openxmlformats.org/officeDocument/2006/relationships/hyperlink" Target="https://justuseapp.com/en/app/522167641/anylist-grocery-shopping-list/review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2026-09-20T20:03:25.439Z</dcterms:created>
  <dcterms:modified xsi:type="dcterms:W3CDTF">2026-09-20T20:03:25.443Z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