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Vetch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8.5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46.3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-47.0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2023-01-26T16:31:05Z</dcterms:modified>
  <cp:category/>
</cp:coreProperties>
</file>