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411"/>
        <w:gridCol w:w="2012"/>
        <w:gridCol w:w="3418"/>
        <w:gridCol w:w="1669"/>
        <w:gridCol w:w="1218"/>
        <w:gridCol w:w="1071"/>
        <w:gridCol w:w="1535"/>
      </w:tblGrid>
      <w:tr>
        <w:trPr>
          <w:cantSplit/>
          <w:trHeight w:val="617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Floral Traits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Hypervolume Variants</w:t>
            </w:r>
          </w:p>
        </w:tc>
      </w:tr>
      <w:tr>
        <w:trPr>
          <w:cantSplit/>
          <w:trHeight w:val="621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Floral Traits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Floral Display (Except Color)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Morphology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Nectary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Pollen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Color Only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Display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 diameter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Floral 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Floral 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Petal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Stylus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Filament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Nectar 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Nectar 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Stylus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Filament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Plant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Flower inclination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flower per inflorescence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Color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Color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Color (l)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Color (lum)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2023-02-12T08:43:27Z</dcterms:modified>
  <cp:category/>
</cp:coreProperties>
</file>