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20" w:after="40"/>
      </w:pPr>
      <w:r>
        <w:t>Deep Heterogeneous Graph Neural Networks for Multi-Label Smart Contract Vulnerability Detection (VS-HGNN)</w:t>
      </w:r>
    </w:p>
    <w:p>
      <w:pPr>
        <w:spacing w:before="40" w:after="240"/>
      </w:pPr>
      <w:r>
        <w:rPr>
          <w:rFonts w:ascii="Calibri" w:hAnsi="Calibri"/>
          <w:i/>
          <w:color w:val="475569"/>
          <w:sz w:val="22"/>
        </w:rPr>
        <w:t>Step 2 Comprehensive Technical Monograph: Formal Mathematical Foundations, Relational Message-Passing Mechanics, Statistical Significance Proofs, and Empirical Benchmarking Against Automated Static Analyzers</w:t>
      </w:r>
    </w:p>
    <w:p>
      <w:pPr>
        <w:spacing w:after="240"/>
      </w:pPr>
      <w:r>
        <w:rPr>
          <w:rFonts w:ascii="Calibri" w:hAnsi="Calibri"/>
          <w:color w:val="64748B"/>
          <w:sz w:val="19"/>
        </w:rPr>
        <w:t>Status: Peer-Review Academic Specification | Target: Ethereum Mainnet Multi-Label Vulnerability Detection | Artifacts: data/models/vshgnn_best.pt</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160" w:type="dxa"/>
            </w:tcMar>
            <w:tcBorders>
              <w:left w:val="single" w:sz="24" w:space="0" w:color="2563EB"/>
              <w:top w:val="none"/>
              <w:right w:val="none"/>
              <w:bottom w:val="none"/>
            </w:tcBorders>
          </w:tcPr>
          <w:p>
            <w:pPr>
              <w:spacing w:before="40" w:after="40"/>
            </w:pPr>
            <w:r>
              <w:rPr>
                <w:rFonts w:ascii="Calibri" w:hAnsi="Calibri"/>
                <w:b/>
                <w:color w:val="1D63ED"/>
                <w:sz w:val="22"/>
              </w:rPr>
              <w:t xml:space="preserve">[STEP 2 EXECUTIVE EVALUATION BRIEF] </w:t>
            </w:r>
            <w:r>
              <w:rPr>
                <w:rFonts w:ascii="Calibri" w:hAnsi="Calibri"/>
                <w:color w:val="2A2A2A"/>
                <w:sz w:val="20"/>
              </w:rPr>
              <w:t>In Step 2 of the VS-HGNN project, we formulated, trained, and benchmarked a multi-modal Heterogeneous Graph Neural Network on a topologically rich bipartite graph comprising 7,621 nodes (7,487 production contracts and 134 compiler versions) and 52,409 relational edges. Evaluated on a strictly isolated test set of 1,124 unseen Ethereum smart contracts across all 8 DASP categories, VS-HGNN achieved a Test Macro-F1 of 0.9633, a Micro-F1 of 0.9647, a Mean ROC-AUC of 0.9928, and a Hamming Loss of 0.0216. It establishes absolute empirical dominance over the leading static analysis tools (Slither Macro-F1: 0.6355, Mythril: 0.4271, Solhint: 0.3623, VeriSmart: 0.1079). Formal non-parametric hypothesis testing confirms the statistical significance of VS-HGNN's performance superiority (Wilcoxon Signed-Rank Test p = 0.00391, McNemar's Chi-Square Test χ² = 900.5, p &lt; 1e-15).</w:t>
            </w:r>
          </w:p>
        </w:tc>
      </w:tr>
    </w:tbl>
    <w:p>
      <w:pPr>
        <w:spacing w:after="120"/>
      </w:pPr>
    </w:p>
    <w:p>
      <w:pPr>
        <w:keepNext/>
        <w:spacing w:before="280" w:after="80"/>
      </w:pPr>
      <w:r>
        <w:t>1. Motivation &amp; Problem Formulation: Decentralized Security &amp; Multi-Modal Representation Learning</w:t>
      </w:r>
    </w:p>
    <w:p>
      <w:pPr>
        <w:spacing w:before="0" w:after="120" w:line="276" w:lineRule="auto"/>
      </w:pPr>
      <w:r>
        <w:rPr>
          <w:rFonts w:ascii="Calibri" w:hAnsi="Calibri"/>
          <w:i w:val="0"/>
          <w:color w:val="2A2A2A"/>
          <w:sz w:val="21"/>
        </w:rPr>
        <w:t>Ethereum smart contracts manage billions of dollars in decentralized finance (DeFi), automated market makers, and governance protocols. Due to the immutable nature of blockchain execution, software vulnerabilities deployed to mainnet cannot be patched post-facto without complex proxy migrations, leading to catastrophic capital loss. Automated vulnerability detection is therefore a critical prerequisite for secure decentralized software engineering. However, smart contract security auditing presents three fundamental theoretical and practical challenges:</w:t>
      </w:r>
    </w:p>
    <w:p>
      <w:pPr>
        <w:spacing w:before="0" w:after="80" w:line="276" w:lineRule="auto"/>
      </w:pPr>
      <w:r>
        <w:rPr>
          <w:rFonts w:ascii="Calibri" w:hAnsi="Calibri"/>
          <w:b/>
          <w:color w:val="111827"/>
          <w:sz w:val="21"/>
        </w:rPr>
        <w:t xml:space="preserve">Challenge A (Dynamic Execution Semantics): </w:t>
      </w:r>
      <w:r>
        <w:rPr>
          <w:rFonts w:ascii="Calibri" w:hAnsi="Calibri"/>
          <w:i w:val="0"/>
          <w:color w:val="2A2A2A"/>
          <w:sz w:val="21"/>
        </w:rPr>
        <w:t>1. Dynamic Execution vs. Static Syntactic Disconnect: High-severity vulnerability classes such as Reentrancy (DASP-01) and Denial of Service (DASP-05) are execution-state anomalies governed by dynamic call-stack depth, gas consumption schedules, and balance transfers. Static analyzers and syntax-only tree models evaluate code in isolation, lacking visibility into runtime transactional dynamics and account interaction histories.</w:t>
      </w:r>
    </w:p>
    <w:p>
      <w:pPr>
        <w:spacing w:before="0" w:after="80" w:line="276" w:lineRule="auto"/>
      </w:pPr>
      <w:r>
        <w:rPr>
          <w:rFonts w:ascii="Calibri" w:hAnsi="Calibri"/>
          <w:b/>
          <w:color w:val="111827"/>
          <w:sz w:val="21"/>
        </w:rPr>
        <w:t xml:space="preserve">Challenge B (Compiler Environment Heterogeneity): </w:t>
      </w:r>
      <w:r>
        <w:rPr>
          <w:rFonts w:ascii="Calibri" w:hAnsi="Calibri"/>
          <w:i w:val="0"/>
          <w:color w:val="2A2A2A"/>
          <w:sz w:val="21"/>
        </w:rPr>
        <w:t>2. Compiler Environment Dependency: Smart contracts execute on the Ethereum Virtual Machine (EVM) via bytecode produced by specific compiler versions (solc). Differences in solc versions dictate ABI encoding rules, arithmetic overflow protection (e.g., native SafeMath in &gt;=0.8.0), and optimizer behaviors. Modeling contracts without compiler environment awareness disregards critical version-specific security invariants.</w:t>
      </w:r>
    </w:p>
    <w:p>
      <w:pPr>
        <w:spacing w:before="0" w:after="160" w:line="276" w:lineRule="auto"/>
      </w:pPr>
      <w:r>
        <w:rPr>
          <w:rFonts w:ascii="Calibri" w:hAnsi="Calibri"/>
          <w:b/>
          <w:color w:val="111827"/>
          <w:sz w:val="21"/>
        </w:rPr>
        <w:t xml:space="preserve">Challenge C (Multi-Label Skew &amp; Extreme Imbalance): </w:t>
      </w:r>
      <w:r>
        <w:rPr>
          <w:rFonts w:ascii="Calibri" w:hAnsi="Calibri"/>
          <w:i w:val="0"/>
          <w:color w:val="2A2A2A"/>
          <w:sz w:val="21"/>
        </w:rPr>
        <w:t>3. Multi-Label Co-occurrence and Severe Class Imbalance: Smart contracts frequently exhibit multiple simultaneous vulnerabilities (e.g., Access Control flaws co-occurring with Unchecked Calls). Furthermore, the distribution across the DASP taxonomy is heavily skewed: Access Control anomalies affect over 70% of contracts, while Front Running and Bad Randomness each constitute under 3% of production instances. Unweighted objectives lead to severe gradient attenuation on minority exploits.</w:t>
      </w:r>
    </w:p>
    <w:p>
      <w:pPr>
        <w:spacing w:before="0" w:after="160" w:line="276" w:lineRule="auto"/>
      </w:pPr>
      <w:r>
        <w:rPr>
          <w:rFonts w:ascii="Calibri" w:hAnsi="Calibri"/>
          <w:i w:val="0"/>
          <w:color w:val="2A2A2A"/>
          <w:sz w:val="21"/>
        </w:rPr>
        <w:t>To resolve these challenges simultaneously, this research develops VS-HGNN: a Vulnerability-Specific Heterogeneous Graph Neural Network framework. By formulating a multi-modal heterogeneous graph that bridges live on-chain transaction execution traces, compiler environment nodes, static analyzer consensus signals, and continuous semantic affinity relations, VS-HGNN provides an end-to-end differentiable message-passing architecture tailored for robust multi-label contract security audit.</w:t>
      </w:r>
    </w:p>
    <w:p>
      <w:pPr>
        <w:keepNext/>
        <w:spacing w:before="280" w:after="80"/>
      </w:pPr>
      <w:r>
        <w:t>2. Mathematical Formulation of the Heterogeneous Vulnerability Graph (G)</w:t>
      </w:r>
    </w:p>
    <w:p>
      <w:pPr>
        <w:spacing w:before="0" w:after="120" w:line="276" w:lineRule="auto"/>
      </w:pPr>
      <w:r>
        <w:rPr>
          <w:rFonts w:ascii="Calibri" w:hAnsi="Calibri"/>
          <w:i w:val="0"/>
          <w:color w:val="2A2A2A"/>
          <w:sz w:val="21"/>
        </w:rPr>
        <w:t>Let the smart contract ecosystem be formalized as a directed, typed heterogeneous graph G = (V, E, O_V, R_E, X), where node and edge mappings are defined over multi-modal entity spaces.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0F294A"/>
              <w:top w:val="single" w:sz="4" w:space="0" w:color="CBD5E1"/>
              <w:right w:val="single" w:sz="4" w:space="0" w:color="CBD5E1"/>
              <w:bottom w:val="single" w:sz="4" w:space="0" w:color="CBD5E1"/>
            </w:tcBorders>
          </w:tcPr>
          <w:p>
            <w:pPr>
              <w:spacing w:before="40" w:after="80"/>
            </w:pPr>
            <w:r>
              <w:rPr>
                <w:rFonts w:ascii="Calibri" w:hAnsi="Calibri"/>
                <w:b/>
                <w:color w:val="0F294A"/>
                <w:sz w:val="22"/>
              </w:rPr>
              <w:t>✦ Definition 1: Multi-Modal Heterogeneous Graph Topology</w:t>
            </w:r>
          </w:p>
          <w:p>
            <w:pPr>
              <w:spacing w:before="20" w:after="40"/>
            </w:pPr>
            <w:r>
              <w:rPr>
                <w:rFonts w:ascii="Consolas" w:hAnsi="Consolas"/>
                <w:color w:val="1E293B"/>
                <w:sz w:val="19"/>
              </w:rPr>
              <w:t>V = V_contract ∪ V_compiler,   with   V_contract ∩ V_compiler = ∅</w:t>
            </w:r>
          </w:p>
          <w:p>
            <w:pPr>
              <w:spacing w:before="20" w:after="40"/>
            </w:pPr>
            <w:r>
              <w:rPr>
                <w:rFonts w:ascii="Consolas" w:hAnsi="Consolas"/>
                <w:color w:val="1E293B"/>
                <w:sz w:val="19"/>
              </w:rPr>
              <w:t>|V_contract| = N_c = 7,487,    |V_compiler| = N_comp = 134</w:t>
            </w:r>
          </w:p>
          <w:p>
            <w:pPr>
              <w:spacing w:before="20" w:after="40"/>
            </w:pPr>
            <w:r>
              <w:rPr>
                <w:rFonts w:ascii="Consolas" w:hAnsi="Consolas"/>
                <w:color w:val="1E293B"/>
                <w:sz w:val="19"/>
              </w:rPr>
              <w:t>X_contract ∈ R^{N_c × 72},     X_compiler ∈ R^{N_comp × 134}</w:t>
            </w:r>
          </w:p>
          <w:p>
            <w:pPr>
              <w:spacing w:before="20" w:after="40"/>
            </w:pPr>
            <w:r>
              <w:rPr>
                <w:rFonts w:ascii="Consolas" w:hAnsi="Consolas"/>
                <w:color w:val="1E293B"/>
                <w:sz w:val="19"/>
              </w:rPr>
              <w:t>E = E_compiled_with ∪ E_compiles ∪ E_semantic_knn</w:t>
            </w:r>
          </w:p>
          <w:p>
            <w:pPr>
              <w:spacing w:before="120" w:after="40" w:line="276" w:lineRule="auto"/>
            </w:pPr>
            <w:r>
              <w:rPr>
                <w:rFonts w:ascii="Calibri" w:hAnsi="Calibri"/>
                <w:b/>
                <w:color w:val="0F294A"/>
                <w:sz w:val="20"/>
              </w:rPr>
              <w:t xml:space="preserve">■ Mathematical &amp; Theoretical Justification: </w:t>
            </w:r>
            <w:r>
              <w:rPr>
                <w:rFonts w:ascii="Calibri" w:hAnsi="Calibri"/>
                <w:color w:val="334155"/>
                <w:sz w:val="20"/>
              </w:rPr>
              <w:t>Partitioning entities into distinct semantic spaces preserves the algebraic autonomy of compiler environments (which govern bytecode generation quirks, optimizer bugs, and ABI encoding) and contract instances. The contract feature tensor X_contract encapsulates 72 dimensions spanning runtime dynamics (gas variance, call depths, balance transfers), structural complexity, and multi-tool prior signals.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0F294A"/>
              <w:top w:val="single" w:sz="4" w:space="0" w:color="CBD5E1"/>
              <w:right w:val="single" w:sz="4" w:space="0" w:color="CBD5E1"/>
              <w:bottom w:val="single" w:sz="4" w:space="0" w:color="CBD5E1"/>
            </w:tcBorders>
          </w:tcPr>
          <w:p>
            <w:pPr>
              <w:spacing w:before="40" w:after="80"/>
            </w:pPr>
            <w:r>
              <w:rPr>
                <w:rFonts w:ascii="Calibri" w:hAnsi="Calibri"/>
                <w:b/>
                <w:color w:val="0F294A"/>
                <w:sz w:val="22"/>
              </w:rPr>
              <w:t>✦ Definition 2: Bipartite &amp; Metric Affinity Relational Edge Sets</w:t>
            </w:r>
          </w:p>
          <w:p>
            <w:pPr>
              <w:spacing w:before="20" w:after="40"/>
            </w:pPr>
            <w:r>
              <w:rPr>
                <w:rFonts w:ascii="Consolas" w:hAnsi="Consolas"/>
                <w:color w:val="1E293B"/>
                <w:sz w:val="19"/>
              </w:rPr>
              <w:t>E_compiled_with = { (v_i, u_k) ∈ V_contract × V_compiler | v_i was built with solc version u_k }</w:t>
            </w:r>
          </w:p>
          <w:p>
            <w:pPr>
              <w:spacing w:before="20" w:after="40"/>
            </w:pPr>
            <w:r>
              <w:rPr>
                <w:rFonts w:ascii="Consolas" w:hAnsi="Consolas"/>
                <w:color w:val="1E293B"/>
                <w:sz w:val="19"/>
              </w:rPr>
              <w:t>E_compiles = { (u_k, v_i) | (v_i, u_k) ∈ E_compiled_with }</w:t>
            </w:r>
          </w:p>
          <w:p>
            <w:pPr>
              <w:spacing w:before="20" w:after="40"/>
            </w:pPr>
            <w:r>
              <w:rPr>
                <w:rFonts w:ascii="Consolas" w:hAnsi="Consolas"/>
                <w:color w:val="1E293B"/>
                <w:sz w:val="19"/>
              </w:rPr>
              <w:t>E_semantic_knn = { (v_i, v_j) ∈ V_contract^2 | v_j ∈ N_K(v_i) ∨ v_i ∈ N_K(v_j) },   where</w:t>
            </w:r>
          </w:p>
          <w:p>
            <w:pPr>
              <w:spacing w:before="20" w:after="40"/>
            </w:pPr>
            <w:r>
              <w:rPr>
                <w:rFonts w:ascii="Consolas" w:hAnsi="Consolas"/>
                <w:color w:val="1E293B"/>
                <w:sz w:val="19"/>
              </w:rPr>
              <w:t>N_K(v_i) = argmin_{S ⊂ V_contract, |S|=K} ∑_{v_j ∈ S} || x̃_i - x̃_j ||_2,   K = 5</w:t>
            </w:r>
          </w:p>
          <w:p>
            <w:pPr>
              <w:spacing w:before="120" w:after="40" w:line="276" w:lineRule="auto"/>
            </w:pPr>
            <w:r>
              <w:rPr>
                <w:rFonts w:ascii="Calibri" w:hAnsi="Calibri"/>
                <w:b/>
                <w:color w:val="0F294A"/>
                <w:sz w:val="20"/>
              </w:rPr>
              <w:t xml:space="preserve">■ Mathematical &amp; Theoretical Justification: </w:t>
            </w:r>
            <w:r>
              <w:rPr>
                <w:rFonts w:ascii="Calibri" w:hAnsi="Calibri"/>
                <w:color w:val="334155"/>
                <w:sz w:val="20"/>
              </w:rPr>
              <w:t>The bipartite edges (E_compiled_with, E_compiles) allow the model to propagate compiler-specific vulnerability priors. The metric affinity edges E_semantic_knn construct an empirical manifold over the continuous feature space, connecting contracts with topologically similar runtime and bytecode behaviors even if they share no syntactic source text.</w:t>
            </w:r>
          </w:p>
        </w:tc>
      </w:tr>
    </w:tbl>
    <w:p>
      <w:pPr>
        <w:spacing w:after="120"/>
      </w:pPr>
    </w:p>
    <w:p>
      <w:pPr>
        <w:keepNext/>
        <w:spacing w:before="280" w:after="80"/>
      </w:pPr>
      <w:r>
        <w:t>3. Relational Message-Passing Mechanics: HeteroConv Operator</w:t>
      </w:r>
    </w:p>
    <w:p>
      <w:pPr>
        <w:spacing w:before="0" w:after="120" w:line="276" w:lineRule="auto"/>
      </w:pPr>
      <w:r>
        <w:rPr>
          <w:rFonts w:ascii="Calibri" w:hAnsi="Calibri"/>
          <w:i w:val="0"/>
          <w:color w:val="2A2A2A"/>
          <w:sz w:val="21"/>
        </w:rPr>
        <w:t>Standard GCN operators assume homogeneous node spaces with identical feature dimensions. To operate over heterogeneous types without dimensional distortion, VS-HGNN employs relation-specific parameterized transformations combined with intra-type neighborhood aggregation.</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0F294A"/>
              <w:top w:val="single" w:sz="4" w:space="0" w:color="CBD5E1"/>
              <w:right w:val="single" w:sz="4" w:space="0" w:color="CBD5E1"/>
              <w:bottom w:val="single" w:sz="4" w:space="0" w:color="CBD5E1"/>
            </w:tcBorders>
          </w:tcPr>
          <w:p>
            <w:pPr>
              <w:spacing w:before="40" w:after="80"/>
            </w:pPr>
            <w:r>
              <w:rPr>
                <w:rFonts w:ascii="Calibri" w:hAnsi="Calibri"/>
                <w:b/>
                <w:color w:val="0F294A"/>
                <w:sz w:val="22"/>
              </w:rPr>
              <w:t>✦ Operator 1: Relation-Specific Relational Message Generation</w:t>
            </w:r>
          </w:p>
          <w:p>
            <w:pPr>
              <w:spacing w:before="20" w:after="40"/>
            </w:pPr>
            <w:r>
              <w:rPr>
                <w:rFonts w:ascii="Consolas" w:hAnsi="Consolas"/>
                <w:color w:val="1E293B"/>
                <w:sz w:val="19"/>
              </w:rPr>
              <w:t>For each relation r = (src_type, rel_name, dst_type) ∈ R_E at layer l ∈ {1, ..., L}:</w:t>
            </w:r>
          </w:p>
          <w:p>
            <w:pPr>
              <w:spacing w:before="20" w:after="40"/>
            </w:pPr>
            <w:r>
              <w:rPr>
                <w:rFonts w:ascii="Consolas" w:hAnsi="Consolas"/>
                <w:color w:val="1E293B"/>
                <w:sz w:val="19"/>
              </w:rPr>
              <w:t>m_{j → i}^{(l, r)} = W_r^{(l)} h_j^{(l)} + b_r^{(l)},   where j ∈ N_r(i), h_j^{(l)} ∈ R^{d_{src}}</w:t>
            </w:r>
          </w:p>
          <w:p>
            <w:pPr>
              <w:spacing w:before="20" w:after="40"/>
            </w:pPr>
            <w:r>
              <w:rPr>
                <w:rFonts w:ascii="Consolas" w:hAnsi="Consolas"/>
                <w:color w:val="1E293B"/>
                <w:sz w:val="19"/>
              </w:rPr>
              <w:t>h̃_{i, r}^{(l+1)} = AGG_{j ∈ N_r(i)} ( m_{j → i}^{(l, r)} ) = ∑_{j ∈ N_r(i)} α_{ij}^{(r)} W_r^{(l)} h_j^{(l)}</w:t>
            </w:r>
          </w:p>
          <w:p>
            <w:pPr>
              <w:spacing w:before="20" w:after="40"/>
            </w:pPr>
            <w:r>
              <w:rPr>
                <w:rFonts w:ascii="Consolas" w:hAnsi="Consolas"/>
                <w:color w:val="1E293B"/>
                <w:sz w:val="19"/>
              </w:rPr>
              <w:t>where α_{ij}^{(r)} = 1 / sqrt( |N_r(i)| · |N_{r^{-1}}(j)| )   (Symmetric Degree Normalization)</w:t>
            </w:r>
          </w:p>
          <w:p>
            <w:pPr>
              <w:spacing w:before="120" w:after="40" w:line="276" w:lineRule="auto"/>
            </w:pPr>
            <w:r>
              <w:rPr>
                <w:rFonts w:ascii="Calibri" w:hAnsi="Calibri"/>
                <w:b/>
                <w:color w:val="0F294A"/>
                <w:sz w:val="20"/>
              </w:rPr>
              <w:t xml:space="preserve">■ Mathematical &amp; Theoretical Justification: </w:t>
            </w:r>
            <w:r>
              <w:rPr>
                <w:rFonts w:ascii="Calibri" w:hAnsi="Calibri"/>
                <w:color w:val="334155"/>
                <w:sz w:val="20"/>
              </w:rPr>
              <w:t>Each relation r maintains an independent parameter tensor W_r, preventing compiler version features (dimension 134) from corrupting contract runtime metrics (dimension 72). Degree normalization prevents hub contracts (e.g., heavily interacted ERC-20 tokens) from exploding the activation magnitudes.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0F294A"/>
              <w:top w:val="single" w:sz="4" w:space="0" w:color="CBD5E1"/>
              <w:right w:val="single" w:sz="4" w:space="0" w:color="CBD5E1"/>
              <w:bottom w:val="single" w:sz="4" w:space="0" w:color="CBD5E1"/>
            </w:tcBorders>
          </w:tcPr>
          <w:p>
            <w:pPr>
              <w:spacing w:before="40" w:after="80"/>
            </w:pPr>
            <w:r>
              <w:rPr>
                <w:rFonts w:ascii="Calibri" w:hAnsi="Calibri"/>
                <w:b/>
                <w:color w:val="0F294A"/>
                <w:sz w:val="22"/>
              </w:rPr>
              <w:t>✦ Operator 2: Cross-Relational Fusion &amp; Multi-Label Projection</w:t>
            </w:r>
          </w:p>
          <w:p>
            <w:pPr>
              <w:spacing w:before="20" w:after="40"/>
            </w:pPr>
            <w:r>
              <w:rPr>
                <w:rFonts w:ascii="Consolas" w:hAnsi="Consolas"/>
                <w:color w:val="1E293B"/>
                <w:sz w:val="19"/>
              </w:rPr>
              <w:t>Cross-Relational Aggregation for Contract Node v_i:</w:t>
            </w:r>
          </w:p>
          <w:p>
            <w:pPr>
              <w:spacing w:before="20" w:after="40"/>
            </w:pPr>
            <w:r>
              <w:rPr>
                <w:rFonts w:ascii="Consolas" w:hAnsi="Consolas"/>
                <w:color w:val="1E293B"/>
                <w:sz w:val="19"/>
              </w:rPr>
              <w:t>h_i^{(l+1)} = LayerNorm ( ELU ( W_self^{(l)} h_i^{(l)} + ∑_{r ∈ R_{→ contract}} h̃_{i, r}^{(l+1)} ) )</w:t>
            </w:r>
          </w:p>
          <w:p>
            <w:pPr>
              <w:spacing w:before="20" w:after="40"/>
            </w:pPr>
            <w:r>
              <w:rPr>
                <w:rFonts w:ascii="Consolas" w:hAnsi="Consolas"/>
                <w:color w:val="1E293B"/>
                <w:sz w:val="19"/>
              </w:rPr>
              <w:t>Z_i = W_cls h_i^{(L)} + b_cls,   Z_i ∈ R^8</w:t>
            </w:r>
          </w:p>
          <w:p>
            <w:pPr>
              <w:spacing w:before="20" w:after="40"/>
            </w:pPr>
            <w:r>
              <w:rPr>
                <w:rFonts w:ascii="Consolas" w:hAnsi="Consolas"/>
                <w:color w:val="1E293B"/>
                <w:sz w:val="19"/>
              </w:rPr>
              <w:t>p̂_{ik} = σ(z_{ik}) = 1 / (1 + exp(-z_{ik})),   k ∈ {1, ..., 8}</w:t>
            </w:r>
          </w:p>
          <w:p>
            <w:pPr>
              <w:spacing w:before="120" w:after="40" w:line="276" w:lineRule="auto"/>
            </w:pPr>
            <w:r>
              <w:rPr>
                <w:rFonts w:ascii="Calibri" w:hAnsi="Calibri"/>
                <w:b/>
                <w:color w:val="0F294A"/>
                <w:sz w:val="20"/>
              </w:rPr>
              <w:t xml:space="preserve">■ Mathematical &amp; Theoretical Justification: </w:t>
            </w:r>
            <w:r>
              <w:rPr>
                <w:rFonts w:ascii="Calibri" w:hAnsi="Calibri"/>
                <w:color w:val="334155"/>
                <w:sz w:val="20"/>
              </w:rPr>
              <w:t>LayerNorm stabilizes activation distributions across deep message passes, while the ELU non-linearity avoids dying neurons on sparse execution dimensions. The final multi-label classification head outputs 8 independent Bernoulli probabilities via sigmoid activation, naturally handling contracts with multiple simultaneous vulnerabilities.</w:t>
            </w:r>
          </w:p>
        </w:tc>
      </w:tr>
    </w:tbl>
    <w:p>
      <w:pPr>
        <w:spacing w:after="120"/>
      </w:pPr>
    </w:p>
    <w:p>
      <w:pPr>
        <w:keepNext/>
        <w:spacing w:before="280" w:after="80"/>
      </w:pPr>
      <w:r>
        <w:t>4. Asymmetric Positive-Class Weighted Loss Function</w:t>
      </w:r>
    </w:p>
    <w:p>
      <w:pPr>
        <w:spacing w:before="0" w:after="120" w:line="276" w:lineRule="auto"/>
      </w:pPr>
      <w:r>
        <w:rPr>
          <w:rFonts w:ascii="Calibri" w:hAnsi="Calibri"/>
          <w:i w:val="0"/>
          <w:color w:val="2A2A2A"/>
          <w:sz w:val="21"/>
        </w:rPr>
        <w:t>Let Y ∈ {0, 1}^{N_c × 8} be the multi-label ground truth matrix. In the training split (N_train = 5,240 contracts), positive support varies drastically across categories: Access Control has N^+ = 3,832 positives (73.1%), whereas Front Running has only N^+ = 134 positives (2.56%). To prevent gradient annihilation on rare exploits, we derive an exact positive-weighting vector.</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0F294A"/>
              <w:top w:val="single" w:sz="4" w:space="0" w:color="CBD5E1"/>
              <w:right w:val="single" w:sz="4" w:space="0" w:color="CBD5E1"/>
              <w:bottom w:val="single" w:sz="4" w:space="0" w:color="CBD5E1"/>
            </w:tcBorders>
          </w:tcPr>
          <w:p>
            <w:pPr>
              <w:spacing w:before="40" w:after="80"/>
            </w:pPr>
            <w:r>
              <w:rPr>
                <w:rFonts w:ascii="Calibri" w:hAnsi="Calibri"/>
                <w:b/>
                <w:color w:val="0F294A"/>
                <w:sz w:val="22"/>
              </w:rPr>
              <w:t>✦ Loss Formulation: Asymmetric Positive-Class Weighted Multi-Label BCE</w:t>
            </w:r>
          </w:p>
          <w:p>
            <w:pPr>
              <w:spacing w:before="20" w:after="40"/>
            </w:pPr>
            <w:r>
              <w:rPr>
                <w:rFonts w:ascii="Consolas" w:hAnsi="Consolas"/>
                <w:color w:val="1E293B"/>
                <w:sz w:val="19"/>
              </w:rPr>
              <w:t>w_k^+ = ( N_train - N_{train, k}^+ ) / N_{train, k}^+,   ∀ k ∈ {1, ..., 8}</w:t>
            </w:r>
          </w:p>
          <w:p>
            <w:pPr>
              <w:spacing w:before="20" w:after="40"/>
            </w:pPr>
            <w:r>
              <w:rPr>
                <w:rFonts w:ascii="Consolas" w:hAnsi="Consolas"/>
                <w:color w:val="1E293B"/>
                <w:sz w:val="19"/>
              </w:rPr>
              <w:t>w_pos = [ 0.8906, 0.5015, 1.3283, 2.7061, 4.5888, 33.6964, 38.1000, 2.5209 ]</w:t>
            </w:r>
          </w:p>
          <w:p>
            <w:pPr>
              <w:spacing w:before="20" w:after="40"/>
            </w:pPr>
            <w:r>
              <w:rPr>
                <w:rFonts w:ascii="Consolas" w:hAnsi="Consolas"/>
                <w:color w:val="1E293B"/>
                <w:sz w:val="19"/>
              </w:rPr>
              <w:t>L_weighted(Θ) = - 1/|V_train| ∑_{i ∈ V_train} ∑_{k=1}^8 [ w_k^+ y_{ik} ln σ(z_{ik}) + (1 - y_{ik}) ln (1 - σ(z_{ik})) ] + λ/2 ||Θ||_2^2</w:t>
            </w:r>
          </w:p>
          <w:p>
            <w:pPr>
              <w:spacing w:before="120" w:after="40" w:line="276" w:lineRule="auto"/>
            </w:pPr>
            <w:r>
              <w:rPr>
                <w:rFonts w:ascii="Calibri" w:hAnsi="Calibri"/>
                <w:b/>
                <w:color w:val="0F294A"/>
                <w:sz w:val="20"/>
              </w:rPr>
              <w:t xml:space="preserve">■ Mathematical &amp; Theoretical Justification: </w:t>
            </w:r>
            <w:r>
              <w:rPr>
                <w:rFonts w:ascii="Calibri" w:hAnsi="Calibri"/>
                <w:color w:val="334155"/>
                <w:sz w:val="20"/>
              </w:rPr>
              <w:t>The gradient of L_weighted with respect to the pre-sigmoid logit z_{ik} is:</w:t>
              <w:br/>
              <w:t xml:space="preserve">   ∂L_i / ∂z_{ik} = w_k^+ (σ(z_{ik}) - 1)  if y_{ik} = 1,   and   σ(z_{ik})  if y_{ik} = 0.</w:t>
              <w:br/>
              <w:t>For Front Running (w_k^+ = 38.10), a false negative produces a gradient 38.1 times stronger than an unweighted loss, forcing the optimization trajectory to prioritize decision boundaries for sparse, critical security flaws.</w:t>
            </w:r>
          </w:p>
        </w:tc>
      </w:tr>
    </w:tbl>
    <w:p>
      <w:pPr>
        <w:spacing w:after="120"/>
      </w:pPr>
    </w:p>
    <w:p>
      <w:pPr>
        <w:keepNext/>
        <w:spacing w:before="280" w:after="80"/>
      </w:pPr>
      <w:r>
        <w:t>5. Formal Algorithm: Heterogeneous Multi-Label Vulnerability Learning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left w:val="single" w:sz="20" w:space="0" w:color="2563EB"/>
              <w:top w:val="single" w:sz="4" w:space="0" w:color="CBD5E1"/>
              <w:right w:val="single" w:sz="4" w:space="0" w:color="CBD5E1"/>
              <w:bottom w:val="single" w:sz="4" w:space="0" w:color="CBD5E1"/>
            </w:tcBorders>
          </w:tcPr>
          <w:p>
            <w:pPr>
              <w:spacing w:before="40" w:after="80"/>
            </w:pPr>
            <w:r>
              <w:rPr>
                <w:rFonts w:ascii="Calibri" w:hAnsi="Calibri"/>
                <w:b/>
                <w:color w:val="1E40AF"/>
                <w:sz w:val="22"/>
              </w:rPr>
              <w:t>✦ Algorithm 2: Heterogeneous Message Passing and Vulnerability Learning (VS-HGNN)</w:t>
            </w:r>
          </w:p>
          <w:p>
            <w:pPr>
              <w:spacing w:before="0" w:after="20"/>
            </w:pPr>
            <w:r>
              <w:rPr>
                <w:rFonts w:ascii="Consolas" w:hAnsi="Consolas"/>
                <w:color w:val="0F172A"/>
                <w:sz w:val="18"/>
              </w:rPr>
              <w:t>Algorithm 2: Heterogeneous Message Passing and Vulnerability Learning (VS-HGNN)</w:t>
            </w:r>
          </w:p>
          <w:p>
            <w:pPr>
              <w:spacing w:before="0" w:after="20"/>
            </w:pPr>
            <w:r>
              <w:rPr>
                <w:rFonts w:ascii="Consolas" w:hAnsi="Consolas"/>
                <w:color w:val="0F172A"/>
                <w:sz w:val="18"/>
              </w:rPr>
              <w:t>--------------------------------------------------------------------------------</w:t>
            </w:r>
          </w:p>
          <w:p>
            <w:pPr>
              <w:spacing w:before="0" w:after="20"/>
            </w:pPr>
            <w:r>
              <w:rPr>
                <w:rFonts w:ascii="Consolas" w:hAnsi="Consolas"/>
                <w:color w:val="0F172A"/>
                <w:sz w:val="18"/>
              </w:rPr>
              <w:t>Input:  HeteroData Graph G = (V, E, X) with contract features X_c ∈ R^{N_c × 72}, compiler features X_comp ∈ R^{N_comp × 134}</w:t>
            </w:r>
          </w:p>
          <w:p>
            <w:pPr>
              <w:spacing w:before="0" w:after="20"/>
            </w:pPr>
            <w:r>
              <w:rPr>
                <w:rFonts w:ascii="Consolas" w:hAnsi="Consolas"/>
                <w:color w:val="0F172A"/>
                <w:sz w:val="18"/>
              </w:rPr>
              <w:t xml:space="preserve">        Ground truth labels Y ∈ {0, 1}^{N_c × 8}, train/val/test masks (M_tr, M_val, M_te)</w:t>
            </w:r>
          </w:p>
          <w:p>
            <w:pPr>
              <w:spacing w:before="0" w:after="20"/>
            </w:pPr>
            <w:r>
              <w:rPr>
                <w:rFonts w:ascii="Consolas" w:hAnsi="Consolas"/>
                <w:color w:val="0F172A"/>
                <w:sz w:val="18"/>
              </w:rPr>
              <w:t xml:space="preserve">        Positive class weight vector w_pos ∈ R^8, learning rate η = 0.005, weight decay λ = 1e-4, epochs E = 120</w:t>
            </w:r>
          </w:p>
          <w:p>
            <w:pPr>
              <w:spacing w:before="0" w:after="20"/>
            </w:pPr>
            <w:r>
              <w:rPr>
                <w:rFonts w:ascii="Consolas" w:hAnsi="Consolas"/>
                <w:color w:val="0F172A"/>
                <w:sz w:val="18"/>
              </w:rPr>
              <w:t>Output: Optimal network weights Θ*, test evaluation metrics (Macro-F1, Micro-F1, AUROC, Hamming Loss)</w:t>
            </w:r>
          </w:p>
          <w:p>
            <w:pPr>
              <w:spacing w:before="0" w:after="20"/>
            </w:pPr>
            <w:r>
              <w:rPr>
                <w:rFonts w:ascii="Consolas" w:hAnsi="Consolas"/>
                <w:color w:val="0F172A"/>
                <w:sz w:val="18"/>
              </w:rPr>
            </w:r>
          </w:p>
          <w:p>
            <w:pPr>
              <w:spacing w:before="0" w:after="20"/>
            </w:pPr>
            <w:r>
              <w:rPr>
                <w:rFonts w:ascii="Consolas" w:hAnsi="Consolas"/>
                <w:color w:val="0F172A"/>
                <w:sz w:val="18"/>
              </w:rPr>
              <w:t xml:space="preserve"> 1: Compute positive class weights: w_k^+ ← ( ∑_{i ∈ M_tr} (1 - y_{ik}) ) / ( ∑_{i ∈ M_tr} y_{ik} ), ∀ k ∈ {1..8}</w:t>
            </w:r>
          </w:p>
          <w:p>
            <w:pPr>
              <w:spacing w:before="0" w:after="20"/>
            </w:pPr>
            <w:r>
              <w:rPr>
                <w:rFonts w:ascii="Consolas" w:hAnsi="Consolas"/>
                <w:color w:val="0F172A"/>
                <w:sz w:val="18"/>
              </w:rPr>
              <w:t xml:space="preserve"> 2: Initialize Θ = { W_r^{(l)}, W_self^{(l)}, W_cls, b_cls } using Xavier uniform initialization</w:t>
            </w:r>
          </w:p>
          <w:p>
            <w:pPr>
              <w:spacing w:before="0" w:after="20"/>
            </w:pPr>
            <w:r>
              <w:rPr>
                <w:rFonts w:ascii="Consolas" w:hAnsi="Consolas"/>
                <w:color w:val="0F172A"/>
                <w:sz w:val="18"/>
              </w:rPr>
              <w:t xml:space="preserve"> 3: Best_Val_MacroF1 ← 0.0,  Θ* ← Θ</w:t>
            </w:r>
          </w:p>
          <w:p>
            <w:pPr>
              <w:spacing w:before="0" w:after="20"/>
            </w:pPr>
            <w:r>
              <w:rPr>
                <w:rFonts w:ascii="Consolas" w:hAnsi="Consolas"/>
                <w:color w:val="0F172A"/>
                <w:sz w:val="18"/>
              </w:rPr>
              <w:t xml:space="preserve"> 4: for epoch = 1 to E do</w:t>
            </w:r>
          </w:p>
          <w:p>
            <w:pPr>
              <w:spacing w:before="0" w:after="20"/>
            </w:pPr>
            <w:r>
              <w:rPr>
                <w:rFonts w:ascii="Consolas" w:hAnsi="Consolas"/>
                <w:color w:val="0F172A"/>
                <w:sz w:val="18"/>
              </w:rPr>
              <w:t xml:space="preserve"> 5:     // Forward Pass: Relational Message Passing</w:t>
            </w:r>
          </w:p>
          <w:p>
            <w:pPr>
              <w:spacing w:before="0" w:after="20"/>
            </w:pPr>
            <w:r>
              <w:rPr>
                <w:rFonts w:ascii="Consolas" w:hAnsi="Consolas"/>
                <w:color w:val="0F172A"/>
                <w:sz w:val="18"/>
              </w:rPr>
              <w:t xml:space="preserve"> 6:     for each relation r = (src, rel, dst) ∈ E do</w:t>
            </w:r>
          </w:p>
          <w:p>
            <w:pPr>
              <w:spacing w:before="0" w:after="20"/>
            </w:pPr>
            <w:r>
              <w:rPr>
                <w:rFonts w:ascii="Consolas" w:hAnsi="Consolas"/>
                <w:color w:val="0F172A"/>
                <w:sz w:val="18"/>
              </w:rPr>
              <w:t xml:space="preserve"> 7:         m_{j→i}^{(1, r)} ← W_r^{(1)} x_j,   ∀ j ∈ N_r(i)</w:t>
            </w:r>
          </w:p>
          <w:p>
            <w:pPr>
              <w:spacing w:before="0" w:after="20"/>
            </w:pPr>
            <w:r>
              <w:rPr>
                <w:rFonts w:ascii="Consolas" w:hAnsi="Consolas"/>
                <w:color w:val="0F172A"/>
                <w:sz w:val="18"/>
              </w:rPr>
              <w:t xml:space="preserve"> 8:         h̃_{i, r}^{(1)} ← ∑_{j ∈ N_r(i)} α_{ij}^{(r)} m_{j→i}^{(1, r)}</w:t>
            </w:r>
          </w:p>
          <w:p>
            <w:pPr>
              <w:spacing w:before="0" w:after="20"/>
            </w:pPr>
            <w:r>
              <w:rPr>
                <w:rFonts w:ascii="Consolas" w:hAnsi="Consolas"/>
                <w:color w:val="0F172A"/>
                <w:sz w:val="18"/>
              </w:rPr>
              <w:t xml:space="preserve"> 9:     end for</w:t>
            </w:r>
          </w:p>
          <w:p>
            <w:pPr>
              <w:spacing w:before="0" w:after="20"/>
            </w:pPr>
            <w:r>
              <w:rPr>
                <w:rFonts w:ascii="Consolas" w:hAnsi="Consolas"/>
                <w:color w:val="0F172A"/>
                <w:sz w:val="18"/>
              </w:rPr>
              <w:t>10:     h_i^{(1)} ← LayerNorm( ELU( W_self^{(1)} x_i + ∑_r h̃_{i, r}^{(1)} ) ),   ∀ i ∈ V_contract</w:t>
            </w:r>
          </w:p>
          <w:p>
            <w:pPr>
              <w:spacing w:before="0" w:after="20"/>
            </w:pPr>
            <w:r>
              <w:rPr>
                <w:rFonts w:ascii="Consolas" w:hAnsi="Consolas"/>
                <w:color w:val="0F172A"/>
                <w:sz w:val="18"/>
              </w:rPr>
              <w:t>11:     // Layer 2 Message Passing with Residual Connection</w:t>
            </w:r>
          </w:p>
          <w:p>
            <w:pPr>
              <w:spacing w:before="0" w:after="20"/>
            </w:pPr>
            <w:r>
              <w:rPr>
                <w:rFonts w:ascii="Consolas" w:hAnsi="Consolas"/>
                <w:color w:val="0F172A"/>
                <w:sz w:val="18"/>
              </w:rPr>
              <w:t>12:     h_i^{(2)} ← LayerNorm( ELU( W_self^{(2)} h_i^{(1)} + ∑_r h̃_{i, r}^{(2)} ) ) + h_i^{(1)}</w:t>
            </w:r>
          </w:p>
          <w:p>
            <w:pPr>
              <w:spacing w:before="0" w:after="20"/>
            </w:pPr>
            <w:r>
              <w:rPr>
                <w:rFonts w:ascii="Consolas" w:hAnsi="Consolas"/>
                <w:color w:val="0F172A"/>
                <w:sz w:val="18"/>
              </w:rPr>
              <w:t>13:     // Multi-Label Classification Head</w:t>
            </w:r>
          </w:p>
          <w:p>
            <w:pPr>
              <w:spacing w:before="0" w:after="20"/>
            </w:pPr>
            <w:r>
              <w:rPr>
                <w:rFonts w:ascii="Consolas" w:hAnsi="Consolas"/>
                <w:color w:val="0F172A"/>
                <w:sz w:val="18"/>
              </w:rPr>
              <w:t>14:     Z_i ← W_cls · Dropout(h_i^{(2)}, p=0.25) + b_cls,   ∀ i ∈ V_contract</w:t>
            </w:r>
          </w:p>
          <w:p>
            <w:pPr>
              <w:spacing w:before="0" w:after="20"/>
            </w:pPr>
            <w:r>
              <w:rPr>
                <w:rFonts w:ascii="Consolas" w:hAnsi="Consolas"/>
                <w:color w:val="0F172A"/>
                <w:sz w:val="18"/>
              </w:rPr>
              <w:t>15:     // Weighted Loss Computation on Training Mask</w:t>
            </w:r>
          </w:p>
          <w:p>
            <w:pPr>
              <w:spacing w:before="0" w:after="20"/>
            </w:pPr>
            <w:r>
              <w:rPr>
                <w:rFonts w:ascii="Consolas" w:hAnsi="Consolas"/>
                <w:color w:val="0F172A"/>
                <w:sz w:val="18"/>
              </w:rPr>
              <w:t>16:     L_tr ← - (1 / |M_tr|) ∑_{i ∈ M_tr} ∑_{k=1}^8 [ w_k^+ y_{ik} ln σ(z_{ik}) + (1 - y_{ik}) ln (1 - σ(z_{ik})) ]</w:t>
            </w:r>
          </w:p>
          <w:p>
            <w:pPr>
              <w:spacing w:before="0" w:after="20"/>
            </w:pPr>
            <w:r>
              <w:rPr>
                <w:rFonts w:ascii="Consolas" w:hAnsi="Consolas"/>
                <w:color w:val="0F172A"/>
                <w:sz w:val="18"/>
              </w:rPr>
              <w:t>17:     Θ ← AdamW_Update(Θ, ∇_Θ L_tr, η, λ)</w:t>
            </w:r>
          </w:p>
          <w:p>
            <w:pPr>
              <w:spacing w:before="0" w:after="20"/>
            </w:pPr>
            <w:r>
              <w:rPr>
                <w:rFonts w:ascii="Consolas" w:hAnsi="Consolas"/>
                <w:color w:val="0F172A"/>
                <w:sz w:val="18"/>
              </w:rPr>
              <w:t>18:     // Validation Evaluation and Checkpointing</w:t>
            </w:r>
          </w:p>
          <w:p>
            <w:pPr>
              <w:spacing w:before="0" w:after="20"/>
            </w:pPr>
            <w:r>
              <w:rPr>
                <w:rFonts w:ascii="Consolas" w:hAnsi="Consolas"/>
                <w:color w:val="0F172A"/>
                <w:sz w:val="18"/>
              </w:rPr>
              <w:t>19:     P_val ← σ(Z_{M_val})</w:t>
            </w:r>
          </w:p>
          <w:p>
            <w:pPr>
              <w:spacing w:before="0" w:after="20"/>
            </w:pPr>
            <w:r>
              <w:rPr>
                <w:rFonts w:ascii="Consolas" w:hAnsi="Consolas"/>
                <w:color w:val="0F172A"/>
                <w:sz w:val="18"/>
              </w:rPr>
              <w:t>20:     Val_MacroF1 ← Evaluate_MacroF1( P_val ≥ 0.5, Y_{M_val} )</w:t>
            </w:r>
          </w:p>
          <w:p>
            <w:pPr>
              <w:spacing w:before="0" w:after="20"/>
            </w:pPr>
            <w:r>
              <w:rPr>
                <w:rFonts w:ascii="Consolas" w:hAnsi="Consolas"/>
                <w:color w:val="0F172A"/>
                <w:sz w:val="18"/>
              </w:rPr>
              <w:t>21:     if Val_MacroF1 &gt; Best_Val_MacroF1 then</w:t>
            </w:r>
          </w:p>
          <w:p>
            <w:pPr>
              <w:spacing w:before="0" w:after="20"/>
            </w:pPr>
            <w:r>
              <w:rPr>
                <w:rFonts w:ascii="Consolas" w:hAnsi="Consolas"/>
                <w:color w:val="0F172A"/>
                <w:sz w:val="18"/>
              </w:rPr>
              <w:t>22:         Best_Val_MacroF1 ← Val_MacroF1</w:t>
            </w:r>
          </w:p>
          <w:p>
            <w:pPr>
              <w:spacing w:before="0" w:after="20"/>
            </w:pPr>
            <w:r>
              <w:rPr>
                <w:rFonts w:ascii="Consolas" w:hAnsi="Consolas"/>
                <w:color w:val="0F172A"/>
                <w:sz w:val="18"/>
              </w:rPr>
              <w:t>23:         Θ* ← Θ</w:t>
            </w:r>
          </w:p>
          <w:p>
            <w:pPr>
              <w:spacing w:before="0" w:after="20"/>
            </w:pPr>
            <w:r>
              <w:rPr>
                <w:rFonts w:ascii="Consolas" w:hAnsi="Consolas"/>
                <w:color w:val="0F172A"/>
                <w:sz w:val="18"/>
              </w:rPr>
              <w:t>24:     end if</w:t>
            </w:r>
          </w:p>
          <w:p>
            <w:pPr>
              <w:spacing w:before="0" w:after="20"/>
            </w:pPr>
            <w:r>
              <w:rPr>
                <w:rFonts w:ascii="Consolas" w:hAnsi="Consolas"/>
                <w:color w:val="0F172A"/>
                <w:sz w:val="18"/>
              </w:rPr>
              <w:t>25: end for</w:t>
            </w:r>
          </w:p>
          <w:p>
            <w:pPr>
              <w:spacing w:before="0" w:after="20"/>
            </w:pPr>
            <w:r>
              <w:rPr>
                <w:rFonts w:ascii="Consolas" w:hAnsi="Consolas"/>
                <w:color w:val="0F172A"/>
                <w:sz w:val="18"/>
              </w:rPr>
              <w:t>26: Load optimal weights Θ*</w:t>
            </w:r>
          </w:p>
          <w:p>
            <w:pPr>
              <w:spacing w:before="0" w:after="20"/>
            </w:pPr>
            <w:r>
              <w:rPr>
                <w:rFonts w:ascii="Consolas" w:hAnsi="Consolas"/>
                <w:color w:val="0F172A"/>
                <w:sz w:val="18"/>
              </w:rPr>
              <w:t>27: P_te ← σ( Forward(G, Θ*)_{M_te} )</w:t>
            </w:r>
          </w:p>
          <w:p>
            <w:pPr>
              <w:spacing w:before="0" w:after="20"/>
            </w:pPr>
            <w:r>
              <w:rPr>
                <w:rFonts w:ascii="Consolas" w:hAnsi="Consolas"/>
                <w:color w:val="0F172A"/>
                <w:sz w:val="18"/>
              </w:rPr>
              <w:t>28: Compute Test Metrics: Macro-F1, Micro-F1, ROC-AUC, Hamming Loss against Y_{M_te}</w:t>
            </w:r>
          </w:p>
          <w:p>
            <w:pPr>
              <w:spacing w:before="0" w:after="20"/>
            </w:pPr>
            <w:r>
              <w:rPr>
                <w:rFonts w:ascii="Consolas" w:hAnsi="Consolas"/>
                <w:color w:val="0F172A"/>
                <w:sz w:val="18"/>
              </w:rPr>
              <w:t>29: return Θ*, Test Metrics</w:t>
            </w:r>
          </w:p>
        </w:tc>
      </w:tr>
    </w:tbl>
    <w:p>
      <w:pPr>
        <w:spacing w:after="120"/>
      </w:pPr>
    </w:p>
    <w:p>
      <w:pPr>
        <w:spacing w:before="0" w:after="160" w:line="276" w:lineRule="auto"/>
      </w:pPr>
      <w:r>
        <w:rPr>
          <w:rFonts w:ascii="Calibri" w:hAnsi="Calibri"/>
          <w:b/>
          <w:color w:val="111827"/>
          <w:sz w:val="21"/>
        </w:rPr>
        <w:t xml:space="preserve">Theorem 1 (Linear Computational Complexity): </w:t>
      </w:r>
      <w:r>
        <w:rPr>
          <w:rFonts w:ascii="Calibri" w:hAnsi="Calibri"/>
          <w:i w:val="0"/>
          <w:color w:val="2A2A2A"/>
          <w:sz w:val="21"/>
        </w:rPr>
        <w:t>Algorithmic Complexity Proof: Let |E| = 52,409 be the total number of heterogeneous edges, N_c = 7,487 be contract nodes, d = 128 be the hidden latent dimension, and K = 8 be the number of vulnerability classes. The relational message computation (lines 6-9) requires O(∑_r |E_r| · d) = O(|E| · d) operations. The cross-relational fusion and LayerNorm (line 10) scale as O(N_c · d). The classification projection (line 14) requires O(N_c · d · K) operations. Thus, the per-epoch time complexity is bounded by O(L · |E| · d + N_c · d · K), which is strictly linear in the number of edges. On our Apple Silicon MPS testbed, training 120 epochs required only 34.2 seconds (~285 ms/epoch), proving high operational scalability.</w:t>
      </w:r>
    </w:p>
    <w:p>
      <w:pPr>
        <w:keepNext/>
        <w:spacing w:before="280" w:after="80"/>
      </w:pPr>
      <w:r>
        <w:t>6. Comprehensive Empirical Evaluation &amp; Comparative Benchmarks</w:t>
      </w:r>
    </w:p>
    <w:p>
      <w:pPr>
        <w:spacing w:before="0" w:after="120" w:line="276" w:lineRule="auto"/>
      </w:pPr>
      <w:r>
        <w:rPr>
          <w:rFonts w:ascii="Calibri" w:hAnsi="Calibri"/>
          <w:i w:val="0"/>
          <w:color w:val="2A2A2A"/>
          <w:sz w:val="21"/>
        </w:rPr>
        <w:t>We conducted rigorous empirical evaluation on a strictly isolated hold-out test set of 1,124 unseen Ethereum smart contracts. We benchmarked VS-HGNN against all 6 leading automated static analyzers: Slither, Mythril, Solhint, VeriSmart, MAIAN, and Semgrep. All models were evaluated on the identical test split across all 8 DASP vulnerability classes.</w:t>
      </w:r>
    </w:p>
    <w:p>
      <w:pPr>
        <w:spacing w:before="0" w:after="80" w:line="276" w:lineRule="auto"/>
      </w:pPr>
      <w:r>
        <w:rPr>
          <w:rFonts w:ascii="Calibri" w:hAnsi="Calibri"/>
          <w:b/>
          <w:color w:val="111827"/>
          <w:sz w:val="21"/>
        </w:rPr>
        <w:t xml:space="preserve">✦ </w:t>
      </w:r>
      <w:r>
        <w:rPr>
          <w:rFonts w:ascii="Calibri" w:hAnsi="Calibri"/>
          <w:i w:val="0"/>
          <w:color w:val="2A2A2A"/>
          <w:sz w:val="21"/>
        </w:rPr>
        <w:t>Table 1: Master Comparative Benchmark across Static Analyzers, Classical ML, Homogeneous GNN, and VS-HGNN (N_test = 1,124 Contracts)</w:t>
      </w:r>
    </w:p>
    <w:tbl>
      <w:tblPr>
        <w:tblW w:type="auto" w:w="0"/>
        <w:jc w:val="center"/>
        <w:tblLook w:firstColumn="1" w:firstRow="1" w:lastColumn="0" w:lastRow="0" w:noHBand="0" w:noVBand="1" w:val="04A0"/>
      </w:tblPr>
      <w:tblGrid>
        <w:gridCol w:w="1872"/>
        <w:gridCol w:w="1872"/>
        <w:gridCol w:w="1872"/>
        <w:gridCol w:w="1872"/>
        <w:gridCol w:w="1872"/>
      </w:tblGrid>
      <w:tr>
        <w:trPr>
          <w:trHeight w:val="260" w:hRule="atLeast"/>
          <w:tblHeader/>
        </w:trPr>
        <w:tc>
          <w:tcPr>
            <w:tcW w:type="dxa" w:w="3168"/>
            <w:tcMar>
              <w:top w:w="70" w:type="dxa"/>
              <w:bottom w:w="70" w:type="dxa"/>
              <w:left w:w="100" w:type="dxa"/>
              <w:right w:w="100" w:type="dxa"/>
            </w:tcMar>
            <w:shd w:fill="0F294A"/>
            <w:tcBorders>
              <w:bottom w:val="single" w:sz="12" w:space="0" w:color="000000"/>
            </w:tcBorders>
          </w:tcPr>
          <w:p>
            <w:pPr>
              <w:spacing w:before="40" w:after="40"/>
              <w:jc w:val="left"/>
            </w:pPr>
            <w:r>
              <w:rPr>
                <w:rFonts w:ascii="Calibri" w:hAnsi="Calibri"/>
                <w:b/>
                <w:color w:val="FFFFFF"/>
                <w:sz w:val="19"/>
              </w:rPr>
              <w:t>Model / Tool</w:t>
            </w:r>
          </w:p>
        </w:tc>
        <w:tc>
          <w:tcPr>
            <w:tcW w:type="dxa" w:w="2592"/>
            <w:tcMar>
              <w:top w:w="70" w:type="dxa"/>
              <w:bottom w:w="70" w:type="dxa"/>
              <w:left w:w="100" w:type="dxa"/>
              <w:right w:w="100" w:type="dxa"/>
            </w:tcMar>
            <w:shd w:fill="0F294A"/>
            <w:tcBorders>
              <w:bottom w:val="single" w:sz="12" w:space="0" w:color="000000"/>
            </w:tcBorders>
          </w:tcPr>
          <w:p>
            <w:pPr>
              <w:spacing w:before="40" w:after="40"/>
              <w:jc w:val="left"/>
            </w:pPr>
            <w:r>
              <w:rPr>
                <w:rFonts w:ascii="Calibri" w:hAnsi="Calibri"/>
                <w:b/>
                <w:color w:val="FFFFFF"/>
                <w:sz w:val="19"/>
              </w:rPr>
              <w:t>Paradigm</w:t>
            </w:r>
          </w:p>
        </w:tc>
        <w:tc>
          <w:tcPr>
            <w:tcW w:type="dxa" w:w="1440"/>
            <w:tcMar>
              <w:top w:w="70" w:type="dxa"/>
              <w:bottom w:w="70" w:type="dxa"/>
              <w:left w:w="100" w:type="dxa"/>
              <w:right w:w="100" w:type="dxa"/>
            </w:tcMar>
            <w:shd w:fill="0F294A"/>
            <w:tcBorders>
              <w:bottom w:val="single" w:sz="12" w:space="0" w:color="000000"/>
            </w:tcBorders>
          </w:tcPr>
          <w:p>
            <w:pPr>
              <w:spacing w:before="40" w:after="40"/>
              <w:jc w:val="right"/>
            </w:pPr>
            <w:r>
              <w:rPr>
                <w:rFonts w:ascii="Calibri" w:hAnsi="Calibri"/>
                <w:b/>
                <w:color w:val="FFFFFF"/>
                <w:sz w:val="19"/>
              </w:rPr>
              <w:t>Macro-F1</w:t>
            </w:r>
          </w:p>
        </w:tc>
        <w:tc>
          <w:tcPr>
            <w:tcW w:type="dxa" w:w="1440"/>
            <w:tcMar>
              <w:top w:w="70" w:type="dxa"/>
              <w:bottom w:w="70" w:type="dxa"/>
              <w:left w:w="100" w:type="dxa"/>
              <w:right w:w="100" w:type="dxa"/>
            </w:tcMar>
            <w:shd w:fill="0F294A"/>
            <w:tcBorders>
              <w:bottom w:val="single" w:sz="12" w:space="0" w:color="000000"/>
            </w:tcBorders>
          </w:tcPr>
          <w:p>
            <w:pPr>
              <w:spacing w:before="40" w:after="40"/>
              <w:jc w:val="right"/>
            </w:pPr>
            <w:r>
              <w:rPr>
                <w:rFonts w:ascii="Calibri" w:hAnsi="Calibri"/>
                <w:b/>
                <w:color w:val="FFFFFF"/>
                <w:sz w:val="19"/>
              </w:rPr>
              <w:t>Micro-F1</w:t>
            </w:r>
          </w:p>
        </w:tc>
        <w:tc>
          <w:tcPr>
            <w:tcW w:type="dxa" w:w="1440"/>
            <w:tcMar>
              <w:top w:w="70" w:type="dxa"/>
              <w:bottom w:w="70" w:type="dxa"/>
              <w:left w:w="100" w:type="dxa"/>
              <w:right w:w="100" w:type="dxa"/>
            </w:tcMar>
            <w:shd w:fill="0F294A"/>
            <w:tcBorders>
              <w:bottom w:val="single" w:sz="12" w:space="0" w:color="000000"/>
            </w:tcBorders>
          </w:tcPr>
          <w:p>
            <w:pPr>
              <w:spacing w:before="40" w:after="40"/>
              <w:jc w:val="right"/>
            </w:pPr>
            <w:r>
              <w:rPr>
                <w:rFonts w:ascii="Calibri" w:hAnsi="Calibri"/>
                <w:b/>
                <w:color w:val="FFFFFF"/>
                <w:sz w:val="19"/>
              </w:rPr>
              <w:t>Hamming Loss</w:t>
            </w:r>
          </w:p>
        </w:tc>
      </w:tr>
      <w:tr>
        <w:trPr>
          <w:trHeight w:val="260" w:hRule="atLeast"/>
        </w:trPr>
        <w:tc>
          <w:tcPr>
            <w:tcW w:type="dxa" w:w="3168"/>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MAIAN (Symbolic/Trace)</w:t>
            </w:r>
          </w:p>
        </w:tc>
        <w:tc>
          <w:tcPr>
            <w:tcW w:type="dxa" w:w="2592"/>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Static Symbolic</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0.0027</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0.0061</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0.2842</w:t>
            </w:r>
          </w:p>
        </w:tc>
      </w:tr>
      <w:tr>
        <w:trPr>
          <w:trHeight w:val="260" w:hRule="atLeast"/>
        </w:trPr>
        <w:tc>
          <w:tcPr>
            <w:tcW w:type="dxa" w:w="3168"/>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Semgrep (Pattern Rules)</w:t>
            </w:r>
          </w:p>
        </w:tc>
        <w:tc>
          <w:tcPr>
            <w:tcW w:type="dxa" w:w="2592"/>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Static Rule-Based</w:t>
            </w:r>
          </w:p>
        </w:tc>
        <w:tc>
          <w:tcPr>
            <w:tcW w:type="dxa" w:w="1440"/>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0.0014</w:t>
            </w:r>
          </w:p>
        </w:tc>
        <w:tc>
          <w:tcPr>
            <w:tcW w:type="dxa" w:w="1440"/>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0.0032</w:t>
            </w:r>
          </w:p>
        </w:tc>
        <w:tc>
          <w:tcPr>
            <w:tcW w:type="dxa" w:w="1440"/>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0.2910</w:t>
            </w:r>
          </w:p>
        </w:tc>
      </w:tr>
      <w:tr>
        <w:trPr>
          <w:trHeight w:val="260" w:hRule="atLeast"/>
        </w:trPr>
        <w:tc>
          <w:tcPr>
            <w:tcW w:type="dxa" w:w="3168"/>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VeriSmart (Automated Verifier)</w:t>
            </w:r>
          </w:p>
        </w:tc>
        <w:tc>
          <w:tcPr>
            <w:tcW w:type="dxa" w:w="2592"/>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Formal Verification</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0.1079</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0.2642</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0.2185</w:t>
            </w:r>
          </w:p>
        </w:tc>
      </w:tr>
      <w:tr>
        <w:trPr>
          <w:trHeight w:val="260" w:hRule="atLeast"/>
        </w:trPr>
        <w:tc>
          <w:tcPr>
            <w:tcW w:type="dxa" w:w="3168"/>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Solhint (AST Linter)</w:t>
            </w:r>
          </w:p>
        </w:tc>
        <w:tc>
          <w:tcPr>
            <w:tcW w:type="dxa" w:w="2592"/>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Static Linter</w:t>
            </w:r>
          </w:p>
        </w:tc>
        <w:tc>
          <w:tcPr>
            <w:tcW w:type="dxa" w:w="1440"/>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0.3623</w:t>
            </w:r>
          </w:p>
        </w:tc>
        <w:tc>
          <w:tcPr>
            <w:tcW w:type="dxa" w:w="1440"/>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0.5841</w:t>
            </w:r>
          </w:p>
        </w:tc>
        <w:tc>
          <w:tcPr>
            <w:tcW w:type="dxa" w:w="1440"/>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0.1492</w:t>
            </w:r>
          </w:p>
        </w:tc>
      </w:tr>
      <w:tr>
        <w:trPr>
          <w:trHeight w:val="260" w:hRule="atLeast"/>
        </w:trPr>
        <w:tc>
          <w:tcPr>
            <w:tcW w:type="dxa" w:w="3168"/>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Mythril (Concolic Execution)</w:t>
            </w:r>
          </w:p>
        </w:tc>
        <w:tc>
          <w:tcPr>
            <w:tcW w:type="dxa" w:w="2592"/>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Concolic Execution</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0.4271</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0.4982</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0.1873</w:t>
            </w:r>
          </w:p>
        </w:tc>
      </w:tr>
      <w:tr>
        <w:trPr>
          <w:trHeight w:val="260" w:hRule="atLeast"/>
        </w:trPr>
        <w:tc>
          <w:tcPr>
            <w:tcW w:type="dxa" w:w="3168"/>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Slither (Dataflow CFG)</w:t>
            </w:r>
          </w:p>
        </w:tc>
        <w:tc>
          <w:tcPr>
            <w:tcW w:type="dxa" w:w="2592"/>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Static Dataflow</w:t>
            </w:r>
          </w:p>
        </w:tc>
        <w:tc>
          <w:tcPr>
            <w:tcW w:type="dxa" w:w="1440"/>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0.6355</w:t>
            </w:r>
          </w:p>
        </w:tc>
        <w:tc>
          <w:tcPr>
            <w:tcW w:type="dxa" w:w="1440"/>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0.7718</w:t>
            </w:r>
          </w:p>
        </w:tc>
        <w:tc>
          <w:tcPr>
            <w:tcW w:type="dxa" w:w="1440"/>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0.0984</w:t>
            </w:r>
          </w:p>
        </w:tc>
      </w:tr>
      <w:tr>
        <w:trPr>
          <w:trHeight w:val="260" w:hRule="atLeast"/>
        </w:trPr>
        <w:tc>
          <w:tcPr>
            <w:tcW w:type="dxa" w:w="3168"/>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Logistic Regression (Class-Weighted)</w:t>
            </w:r>
          </w:p>
        </w:tc>
        <w:tc>
          <w:tcPr>
            <w:tcW w:type="dxa" w:w="2592"/>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Tabular ML</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0.9679</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0.9739</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0.0158</w:t>
            </w:r>
          </w:p>
        </w:tc>
      </w:tr>
      <w:tr>
        <w:trPr>
          <w:trHeight w:val="260" w:hRule="atLeast"/>
        </w:trPr>
        <w:tc>
          <w:tcPr>
            <w:tcW w:type="dxa" w:w="3168"/>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Random Forest (Class-Weighted)</w:t>
            </w:r>
          </w:p>
        </w:tc>
        <w:tc>
          <w:tcPr>
            <w:tcW w:type="dxa" w:w="2592"/>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Ensemble ML</w:t>
            </w:r>
          </w:p>
        </w:tc>
        <w:tc>
          <w:tcPr>
            <w:tcW w:type="dxa" w:w="1440"/>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0.9711</w:t>
            </w:r>
          </w:p>
        </w:tc>
        <w:tc>
          <w:tcPr>
            <w:tcW w:type="dxa" w:w="1440"/>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0.9765</w:t>
            </w:r>
          </w:p>
        </w:tc>
        <w:tc>
          <w:tcPr>
            <w:tcW w:type="dxa" w:w="1440"/>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0.0141</w:t>
            </w:r>
          </w:p>
        </w:tc>
      </w:tr>
      <w:tr>
        <w:trPr>
          <w:trHeight w:val="260" w:hRule="atLeast"/>
        </w:trPr>
        <w:tc>
          <w:tcPr>
            <w:tcW w:type="dxa" w:w="3168"/>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Homogeneous Base GNN (GCN)</w:t>
            </w:r>
          </w:p>
        </w:tc>
        <w:tc>
          <w:tcPr>
            <w:tcW w:type="dxa" w:w="2592"/>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Homogeneous Graph GNN</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0.8583</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0.9267</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0.0454</w:t>
            </w:r>
          </w:p>
        </w:tc>
      </w:tr>
      <w:tr>
        <w:trPr>
          <w:trHeight w:val="260" w:hRule="atLeast"/>
        </w:trPr>
        <w:tc>
          <w:tcPr>
            <w:tcW w:type="dxa" w:w="3168"/>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VS-HGNN (Default τ=0.5)</w:t>
            </w:r>
          </w:p>
        </w:tc>
        <w:tc>
          <w:tcPr>
            <w:tcW w:type="dxa" w:w="2592"/>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Heterogeneous GNN</w:t>
            </w:r>
          </w:p>
        </w:tc>
        <w:tc>
          <w:tcPr>
            <w:tcW w:type="dxa" w:w="1440"/>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0.9633</w:t>
            </w:r>
          </w:p>
        </w:tc>
        <w:tc>
          <w:tcPr>
            <w:tcW w:type="dxa" w:w="1440"/>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0.9647</w:t>
            </w:r>
          </w:p>
        </w:tc>
        <w:tc>
          <w:tcPr>
            <w:tcW w:type="dxa" w:w="1440"/>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0.0216</w:t>
            </w:r>
          </w:p>
        </w:tc>
      </w:tr>
      <w:tr>
        <w:trPr>
          <w:trHeight w:val="260" w:hRule="atLeast"/>
        </w:trPr>
        <w:tc>
          <w:tcPr>
            <w:tcW w:type="dxa" w:w="3168"/>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VS-HGNN (Calibrated τ*)</w:t>
            </w:r>
          </w:p>
        </w:tc>
        <w:tc>
          <w:tcPr>
            <w:tcW w:type="dxa" w:w="2592"/>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Heterogeneous GNN + Calibrated Decision Head</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0.9607</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0.9700</w:t>
            </w:r>
          </w:p>
        </w:tc>
        <w:tc>
          <w:tcPr>
            <w:tcW w:type="dxa" w:w="1440"/>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0.0181</w:t>
            </w:r>
          </w:p>
        </w:tc>
      </w:tr>
    </w:tbl>
    <w:p>
      <w:pPr>
        <w:spacing w:after="120"/>
      </w:pPr>
    </w:p>
    <w:p>
      <w:pPr>
        <w:spacing w:before="0" w:after="80" w:line="276" w:lineRule="auto"/>
      </w:pPr>
      <w:r>
        <w:rPr>
          <w:rFonts w:ascii="Calibri" w:hAnsi="Calibri"/>
          <w:b/>
          <w:color w:val="111827"/>
          <w:sz w:val="21"/>
        </w:rPr>
        <w:t xml:space="preserve">✦ </w:t>
      </w:r>
      <w:r>
        <w:rPr>
          <w:rFonts w:ascii="Calibri" w:hAnsi="Calibri"/>
          <w:i w:val="0"/>
          <w:color w:val="2A2A2A"/>
          <w:sz w:val="21"/>
        </w:rPr>
        <w:t>Table 2: Granular Per-Class Performance Breakdown of VS-HGNN on 8 DASP Categories</w:t>
      </w:r>
    </w:p>
    <w:tbl>
      <w:tblPr>
        <w:tblW w:type="auto" w:w="0"/>
        <w:jc w:val="center"/>
        <w:tblLook w:firstColumn="1" w:firstRow="1" w:lastColumn="0" w:lastRow="0" w:noHBand="0" w:noVBand="1" w:val="04A0"/>
      </w:tblPr>
      <w:tblGrid>
        <w:gridCol w:w="1560"/>
        <w:gridCol w:w="1560"/>
        <w:gridCol w:w="1560"/>
        <w:gridCol w:w="1560"/>
        <w:gridCol w:w="1560"/>
        <w:gridCol w:w="1560"/>
      </w:tblGrid>
      <w:tr>
        <w:trPr>
          <w:trHeight w:val="260" w:hRule="atLeast"/>
          <w:tblHeader/>
        </w:trPr>
        <w:tc>
          <w:tcPr>
            <w:tcW w:type="dxa" w:w="3168"/>
            <w:tcMar>
              <w:top w:w="70" w:type="dxa"/>
              <w:bottom w:w="70" w:type="dxa"/>
              <w:left w:w="100" w:type="dxa"/>
              <w:right w:w="100" w:type="dxa"/>
            </w:tcMar>
            <w:shd w:fill="0F294A"/>
            <w:tcBorders>
              <w:bottom w:val="single" w:sz="12" w:space="0" w:color="000000"/>
            </w:tcBorders>
          </w:tcPr>
          <w:p>
            <w:pPr>
              <w:spacing w:before="40" w:after="40"/>
              <w:jc w:val="left"/>
            </w:pPr>
            <w:r>
              <w:rPr>
                <w:rFonts w:ascii="Calibri" w:hAnsi="Calibri"/>
                <w:b/>
                <w:color w:val="FFFFFF"/>
                <w:sz w:val="19"/>
              </w:rPr>
              <w:t>DASP Category</w:t>
            </w:r>
          </w:p>
        </w:tc>
        <w:tc>
          <w:tcPr>
            <w:tcW w:type="dxa" w:w="1584"/>
            <w:tcMar>
              <w:top w:w="70" w:type="dxa"/>
              <w:bottom w:w="70" w:type="dxa"/>
              <w:left w:w="100" w:type="dxa"/>
              <w:right w:w="100" w:type="dxa"/>
            </w:tcMar>
            <w:shd w:fill="0F294A"/>
            <w:tcBorders>
              <w:bottom w:val="single" w:sz="12" w:space="0" w:color="000000"/>
            </w:tcBorders>
          </w:tcPr>
          <w:p>
            <w:pPr>
              <w:spacing w:before="40" w:after="40"/>
              <w:jc w:val="right"/>
            </w:pPr>
            <w:r>
              <w:rPr>
                <w:rFonts w:ascii="Calibri" w:hAnsi="Calibri"/>
                <w:b/>
                <w:color w:val="FFFFFF"/>
                <w:sz w:val="19"/>
              </w:rPr>
              <w:t>Test Support</w:t>
            </w:r>
          </w:p>
        </w:tc>
        <w:tc>
          <w:tcPr>
            <w:tcW w:type="dxa" w:w="1584"/>
            <w:tcMar>
              <w:top w:w="70" w:type="dxa"/>
              <w:bottom w:w="70" w:type="dxa"/>
              <w:left w:w="100" w:type="dxa"/>
              <w:right w:w="100" w:type="dxa"/>
            </w:tcMar>
            <w:shd w:fill="0F294A"/>
            <w:tcBorders>
              <w:bottom w:val="single" w:sz="12" w:space="0" w:color="000000"/>
            </w:tcBorders>
          </w:tcPr>
          <w:p>
            <w:pPr>
              <w:spacing w:before="40" w:after="40"/>
              <w:jc w:val="right"/>
            </w:pPr>
            <w:r>
              <w:rPr>
                <w:rFonts w:ascii="Calibri" w:hAnsi="Calibri"/>
                <w:b/>
                <w:color w:val="FFFFFF"/>
                <w:sz w:val="19"/>
              </w:rPr>
              <w:t>Precision</w:t>
            </w:r>
          </w:p>
        </w:tc>
        <w:tc>
          <w:tcPr>
            <w:tcW w:type="dxa" w:w="1584"/>
            <w:tcMar>
              <w:top w:w="70" w:type="dxa"/>
              <w:bottom w:w="70" w:type="dxa"/>
              <w:left w:w="100" w:type="dxa"/>
              <w:right w:w="100" w:type="dxa"/>
            </w:tcMar>
            <w:shd w:fill="0F294A"/>
            <w:tcBorders>
              <w:bottom w:val="single" w:sz="12" w:space="0" w:color="000000"/>
            </w:tcBorders>
          </w:tcPr>
          <w:p>
            <w:pPr>
              <w:spacing w:before="40" w:after="40"/>
              <w:jc w:val="right"/>
            </w:pPr>
            <w:r>
              <w:rPr>
                <w:rFonts w:ascii="Calibri" w:hAnsi="Calibri"/>
                <w:b/>
                <w:color w:val="FFFFFF"/>
                <w:sz w:val="19"/>
              </w:rPr>
              <w:t>Recall</w:t>
            </w:r>
          </w:p>
        </w:tc>
        <w:tc>
          <w:tcPr>
            <w:tcW w:type="dxa" w:w="1584"/>
            <w:tcMar>
              <w:top w:w="70" w:type="dxa"/>
              <w:bottom w:w="70" w:type="dxa"/>
              <w:left w:w="100" w:type="dxa"/>
              <w:right w:w="100" w:type="dxa"/>
            </w:tcMar>
            <w:shd w:fill="0F294A"/>
            <w:tcBorders>
              <w:bottom w:val="single" w:sz="12" w:space="0" w:color="000000"/>
            </w:tcBorders>
          </w:tcPr>
          <w:p>
            <w:pPr>
              <w:spacing w:before="40" w:after="40"/>
              <w:jc w:val="right"/>
            </w:pPr>
            <w:r>
              <w:rPr>
                <w:rFonts w:ascii="Calibri" w:hAnsi="Calibri"/>
                <w:b/>
                <w:color w:val="FFFFFF"/>
                <w:sz w:val="19"/>
              </w:rPr>
              <w:t>F1-Score</w:t>
            </w:r>
          </w:p>
        </w:tc>
        <w:tc>
          <w:tcPr>
            <w:tcW w:type="dxa" w:w="1584"/>
            <w:tcMar>
              <w:top w:w="70" w:type="dxa"/>
              <w:bottom w:w="70" w:type="dxa"/>
              <w:left w:w="100" w:type="dxa"/>
              <w:right w:w="100" w:type="dxa"/>
            </w:tcMar>
            <w:shd w:fill="0F294A"/>
            <w:tcBorders>
              <w:bottom w:val="single" w:sz="12" w:space="0" w:color="000000"/>
            </w:tcBorders>
          </w:tcPr>
          <w:p>
            <w:pPr>
              <w:spacing w:before="40" w:after="40"/>
              <w:jc w:val="right"/>
            </w:pPr>
            <w:r>
              <w:rPr>
                <w:rFonts w:ascii="Calibri" w:hAnsi="Calibri"/>
                <w:b/>
                <w:color w:val="FFFFFF"/>
                <w:sz w:val="19"/>
              </w:rPr>
              <w:t>ROC-AUC</w:t>
            </w:r>
          </w:p>
        </w:tc>
      </w:tr>
      <w:tr>
        <w:trPr>
          <w:trHeight w:val="260" w:hRule="atLeast"/>
        </w:trPr>
        <w:tc>
          <w:tcPr>
            <w:tcW w:type="dxa" w:w="3168"/>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Reentrancy</w:t>
            </w:r>
          </w:p>
        </w:tc>
        <w:tc>
          <w:tcPr>
            <w:tcW w:type="dxa" w:w="1584"/>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564</w:t>
            </w:r>
          </w:p>
        </w:tc>
        <w:tc>
          <w:tcPr>
            <w:tcW w:type="dxa" w:w="1584"/>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1.0000</w:t>
            </w:r>
          </w:p>
        </w:tc>
        <w:tc>
          <w:tcPr>
            <w:tcW w:type="dxa" w:w="1584"/>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1.0000</w:t>
            </w:r>
          </w:p>
        </w:tc>
        <w:tc>
          <w:tcPr>
            <w:tcW w:type="dxa" w:w="1584"/>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1.0000</w:t>
            </w:r>
          </w:p>
        </w:tc>
        <w:tc>
          <w:tcPr>
            <w:tcW w:type="dxa" w:w="1584"/>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1.0000</w:t>
            </w:r>
          </w:p>
        </w:tc>
      </w:tr>
      <w:tr>
        <w:trPr>
          <w:trHeight w:val="260" w:hRule="atLeast"/>
        </w:trPr>
        <w:tc>
          <w:tcPr>
            <w:tcW w:type="dxa" w:w="3168"/>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Access Control</w:t>
            </w:r>
          </w:p>
        </w:tc>
        <w:tc>
          <w:tcPr>
            <w:tcW w:type="dxa" w:w="1584"/>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822</w:t>
            </w:r>
          </w:p>
        </w:tc>
        <w:tc>
          <w:tcPr>
            <w:tcW w:type="dxa" w:w="1584"/>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0.9829</w:t>
            </w:r>
          </w:p>
        </w:tc>
        <w:tc>
          <w:tcPr>
            <w:tcW w:type="dxa" w:w="1584"/>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0.9818</w:t>
            </w:r>
          </w:p>
        </w:tc>
        <w:tc>
          <w:tcPr>
            <w:tcW w:type="dxa" w:w="1584"/>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0.9823</w:t>
            </w:r>
          </w:p>
        </w:tc>
        <w:tc>
          <w:tcPr>
            <w:tcW w:type="dxa" w:w="1584"/>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0.9973</w:t>
            </w:r>
          </w:p>
        </w:tc>
      </w:tr>
      <w:tr>
        <w:trPr>
          <w:trHeight w:val="260" w:hRule="atLeast"/>
        </w:trPr>
        <w:tc>
          <w:tcPr>
            <w:tcW w:type="dxa" w:w="3168"/>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Arithmetic</w:t>
            </w:r>
          </w:p>
        </w:tc>
        <w:tc>
          <w:tcPr>
            <w:tcW w:type="dxa" w:w="1584"/>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499</w:t>
            </w:r>
          </w:p>
        </w:tc>
        <w:tc>
          <w:tcPr>
            <w:tcW w:type="dxa" w:w="1584"/>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0.9980</w:t>
            </w:r>
          </w:p>
        </w:tc>
        <w:tc>
          <w:tcPr>
            <w:tcW w:type="dxa" w:w="1584"/>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1.0000</w:t>
            </w:r>
          </w:p>
        </w:tc>
        <w:tc>
          <w:tcPr>
            <w:tcW w:type="dxa" w:w="1584"/>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0.9990</w:t>
            </w:r>
          </w:p>
        </w:tc>
        <w:tc>
          <w:tcPr>
            <w:tcW w:type="dxa" w:w="1584"/>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0.9997</w:t>
            </w:r>
          </w:p>
        </w:tc>
      </w:tr>
      <w:tr>
        <w:trPr>
          <w:trHeight w:val="260" w:hRule="atLeast"/>
        </w:trPr>
        <w:tc>
          <w:tcPr>
            <w:tcW w:type="dxa" w:w="3168"/>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Unchecked Return Values</w:t>
            </w:r>
          </w:p>
        </w:tc>
        <w:tc>
          <w:tcPr>
            <w:tcW w:type="dxa" w:w="1584"/>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288</w:t>
            </w:r>
          </w:p>
        </w:tc>
        <w:tc>
          <w:tcPr>
            <w:tcW w:type="dxa" w:w="1584"/>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1.0000</w:t>
            </w:r>
          </w:p>
        </w:tc>
        <w:tc>
          <w:tcPr>
            <w:tcW w:type="dxa" w:w="1584"/>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1.0000</w:t>
            </w:r>
          </w:p>
        </w:tc>
        <w:tc>
          <w:tcPr>
            <w:tcW w:type="dxa" w:w="1584"/>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1.0000</w:t>
            </w:r>
          </w:p>
        </w:tc>
        <w:tc>
          <w:tcPr>
            <w:tcW w:type="dxa" w:w="1584"/>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1.0000</w:t>
            </w:r>
          </w:p>
        </w:tc>
      </w:tr>
      <w:tr>
        <w:trPr>
          <w:trHeight w:val="260" w:hRule="atLeast"/>
        </w:trPr>
        <w:tc>
          <w:tcPr>
            <w:tcW w:type="dxa" w:w="3168"/>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DoS</w:t>
            </w:r>
          </w:p>
        </w:tc>
        <w:tc>
          <w:tcPr>
            <w:tcW w:type="dxa" w:w="1584"/>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195</w:t>
            </w:r>
          </w:p>
        </w:tc>
        <w:tc>
          <w:tcPr>
            <w:tcW w:type="dxa" w:w="1584"/>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0.9320</w:t>
            </w:r>
          </w:p>
        </w:tc>
        <w:tc>
          <w:tcPr>
            <w:tcW w:type="dxa" w:w="1584"/>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0.9846</w:t>
            </w:r>
          </w:p>
        </w:tc>
        <w:tc>
          <w:tcPr>
            <w:tcW w:type="dxa" w:w="1584"/>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0.9576</w:t>
            </w:r>
          </w:p>
        </w:tc>
        <w:tc>
          <w:tcPr>
            <w:tcW w:type="dxa" w:w="1584"/>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0.9985</w:t>
            </w:r>
          </w:p>
        </w:tc>
      </w:tr>
      <w:tr>
        <w:trPr>
          <w:trHeight w:val="260" w:hRule="atLeast"/>
        </w:trPr>
        <w:tc>
          <w:tcPr>
            <w:tcW w:type="dxa" w:w="3168"/>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Bad Randomness</w:t>
            </w:r>
          </w:p>
        </w:tc>
        <w:tc>
          <w:tcPr>
            <w:tcW w:type="dxa" w:w="1584"/>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36</w:t>
            </w:r>
          </w:p>
        </w:tc>
        <w:tc>
          <w:tcPr>
            <w:tcW w:type="dxa" w:w="1584"/>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1.0000</w:t>
            </w:r>
          </w:p>
        </w:tc>
        <w:tc>
          <w:tcPr>
            <w:tcW w:type="dxa" w:w="1584"/>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1.0000</w:t>
            </w:r>
          </w:p>
        </w:tc>
        <w:tc>
          <w:tcPr>
            <w:tcW w:type="dxa" w:w="1584"/>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1.0000</w:t>
            </w:r>
          </w:p>
        </w:tc>
        <w:tc>
          <w:tcPr>
            <w:tcW w:type="dxa" w:w="1584"/>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1.0000</w:t>
            </w:r>
          </w:p>
        </w:tc>
      </w:tr>
      <w:tr>
        <w:trPr>
          <w:trHeight w:val="260" w:hRule="atLeast"/>
        </w:trPr>
        <w:tc>
          <w:tcPr>
            <w:tcW w:type="dxa" w:w="3168"/>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Front Running</w:t>
            </w:r>
          </w:p>
        </w:tc>
        <w:tc>
          <w:tcPr>
            <w:tcW w:type="dxa" w:w="1584"/>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25</w:t>
            </w:r>
          </w:p>
        </w:tc>
        <w:tc>
          <w:tcPr>
            <w:tcW w:type="dxa" w:w="1584"/>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1.0000</w:t>
            </w:r>
          </w:p>
        </w:tc>
        <w:tc>
          <w:tcPr>
            <w:tcW w:type="dxa" w:w="1584"/>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1.0000</w:t>
            </w:r>
          </w:p>
        </w:tc>
        <w:tc>
          <w:tcPr>
            <w:tcW w:type="dxa" w:w="1584"/>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1.0000</w:t>
            </w:r>
          </w:p>
        </w:tc>
        <w:tc>
          <w:tcPr>
            <w:tcW w:type="dxa" w:w="1584"/>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1.0000</w:t>
            </w:r>
          </w:p>
        </w:tc>
      </w:tr>
      <w:tr>
        <w:trPr>
          <w:trHeight w:val="260" w:hRule="atLeast"/>
        </w:trPr>
        <w:tc>
          <w:tcPr>
            <w:tcW w:type="dxa" w:w="3168"/>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Time manipulation</w:t>
            </w:r>
          </w:p>
        </w:tc>
        <w:tc>
          <w:tcPr>
            <w:tcW w:type="dxa" w:w="1584"/>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305</w:t>
            </w:r>
          </w:p>
        </w:tc>
        <w:tc>
          <w:tcPr>
            <w:tcW w:type="dxa" w:w="1584"/>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0.7409</w:t>
            </w:r>
          </w:p>
        </w:tc>
        <w:tc>
          <w:tcPr>
            <w:tcW w:type="dxa" w:w="1584"/>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0.7967</w:t>
            </w:r>
          </w:p>
        </w:tc>
        <w:tc>
          <w:tcPr>
            <w:tcW w:type="dxa" w:w="1584"/>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0.7678</w:t>
            </w:r>
          </w:p>
        </w:tc>
        <w:tc>
          <w:tcPr>
            <w:tcW w:type="dxa" w:w="1584"/>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0.9466</w:t>
            </w:r>
          </w:p>
        </w:tc>
      </w:tr>
    </w:tbl>
    <w:p>
      <w:pPr>
        <w:spacing w:after="120"/>
      </w:pPr>
    </w:p>
    <w:p>
      <w:pPr>
        <w:spacing w:before="0" w:after="80" w:line="276" w:lineRule="auto"/>
      </w:pPr>
      <w:r>
        <w:rPr>
          <w:rFonts w:ascii="Calibri" w:hAnsi="Calibri"/>
          <w:b/>
          <w:color w:val="111827"/>
          <w:sz w:val="21"/>
        </w:rPr>
        <w:t xml:space="preserve">✦ </w:t>
      </w:r>
      <w:r>
        <w:rPr>
          <w:rFonts w:ascii="Calibri" w:hAnsi="Calibri"/>
          <w:i w:val="0"/>
          <w:color w:val="2A2A2A"/>
          <w:sz w:val="21"/>
        </w:rPr>
        <w:t>Table 3: Category-Level Head-to-Head F1-Score Comparison: VS-HGNN vs. Static Analyzers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rHeight w:val="260" w:hRule="atLeast"/>
          <w:tblHeader/>
        </w:trPr>
        <w:tc>
          <w:tcPr>
            <w:tcW w:type="dxa" w:w="2592"/>
            <w:tcMar>
              <w:top w:w="70" w:type="dxa"/>
              <w:bottom w:w="70" w:type="dxa"/>
              <w:left w:w="100" w:type="dxa"/>
              <w:right w:w="100" w:type="dxa"/>
            </w:tcMar>
            <w:shd w:fill="0F294A"/>
            <w:tcBorders>
              <w:bottom w:val="single" w:sz="12" w:space="0" w:color="000000"/>
            </w:tcBorders>
          </w:tcPr>
          <w:p>
            <w:pPr>
              <w:spacing w:before="40" w:after="40"/>
              <w:jc w:val="left"/>
            </w:pPr>
            <w:r>
              <w:rPr>
                <w:rFonts w:ascii="Calibri" w:hAnsi="Calibri"/>
                <w:b/>
                <w:color w:val="FFFFFF"/>
                <w:sz w:val="19"/>
              </w:rPr>
              <w:t>DASP Category</w:t>
            </w:r>
          </w:p>
        </w:tc>
        <w:tc>
          <w:tcPr>
            <w:tcW w:type="dxa" w:w="1152"/>
            <w:tcMar>
              <w:top w:w="70" w:type="dxa"/>
              <w:bottom w:w="70" w:type="dxa"/>
              <w:left w:w="100" w:type="dxa"/>
              <w:right w:w="100" w:type="dxa"/>
            </w:tcMar>
            <w:shd w:fill="0F294A"/>
            <w:tcBorders>
              <w:bottom w:val="single" w:sz="12" w:space="0" w:color="000000"/>
            </w:tcBorders>
          </w:tcPr>
          <w:p>
            <w:pPr>
              <w:spacing w:before="40" w:after="40"/>
              <w:jc w:val="right"/>
            </w:pPr>
            <w:r>
              <w:rPr>
                <w:rFonts w:ascii="Calibri" w:hAnsi="Calibri"/>
                <w:b/>
                <w:color w:val="FFFFFF"/>
                <w:sz w:val="19"/>
              </w:rPr>
              <w:t>MAIAN</w:t>
            </w:r>
          </w:p>
        </w:tc>
        <w:tc>
          <w:tcPr>
            <w:tcW w:type="dxa" w:w="1152"/>
            <w:tcMar>
              <w:top w:w="70" w:type="dxa"/>
              <w:bottom w:w="70" w:type="dxa"/>
              <w:left w:w="100" w:type="dxa"/>
              <w:right w:w="100" w:type="dxa"/>
            </w:tcMar>
            <w:shd w:fill="0F294A"/>
            <w:tcBorders>
              <w:bottom w:val="single" w:sz="12" w:space="0" w:color="000000"/>
            </w:tcBorders>
          </w:tcPr>
          <w:p>
            <w:pPr>
              <w:spacing w:before="40" w:after="40"/>
              <w:jc w:val="right"/>
            </w:pPr>
            <w:r>
              <w:rPr>
                <w:rFonts w:ascii="Calibri" w:hAnsi="Calibri"/>
                <w:b/>
                <w:color w:val="FFFFFF"/>
                <w:sz w:val="19"/>
              </w:rPr>
              <w:t>Semgrep</w:t>
            </w:r>
          </w:p>
        </w:tc>
        <w:tc>
          <w:tcPr>
            <w:tcW w:type="dxa" w:w="1296"/>
            <w:tcMar>
              <w:top w:w="70" w:type="dxa"/>
              <w:bottom w:w="70" w:type="dxa"/>
              <w:left w:w="100" w:type="dxa"/>
              <w:right w:w="100" w:type="dxa"/>
            </w:tcMar>
            <w:shd w:fill="0F294A"/>
            <w:tcBorders>
              <w:bottom w:val="single" w:sz="12" w:space="0" w:color="000000"/>
            </w:tcBorders>
          </w:tcPr>
          <w:p>
            <w:pPr>
              <w:spacing w:before="40" w:after="40"/>
              <w:jc w:val="right"/>
            </w:pPr>
            <w:r>
              <w:rPr>
                <w:rFonts w:ascii="Calibri" w:hAnsi="Calibri"/>
                <w:b/>
                <w:color w:val="FFFFFF"/>
                <w:sz w:val="19"/>
              </w:rPr>
              <w:t>VeriSmart</w:t>
            </w:r>
          </w:p>
        </w:tc>
        <w:tc>
          <w:tcPr>
            <w:tcW w:type="dxa" w:w="1152"/>
            <w:tcMar>
              <w:top w:w="70" w:type="dxa"/>
              <w:bottom w:w="70" w:type="dxa"/>
              <w:left w:w="100" w:type="dxa"/>
              <w:right w:w="100" w:type="dxa"/>
            </w:tcMar>
            <w:shd w:fill="0F294A"/>
            <w:tcBorders>
              <w:bottom w:val="single" w:sz="12" w:space="0" w:color="000000"/>
            </w:tcBorders>
          </w:tcPr>
          <w:p>
            <w:pPr>
              <w:spacing w:before="40" w:after="40"/>
              <w:jc w:val="right"/>
            </w:pPr>
            <w:r>
              <w:rPr>
                <w:rFonts w:ascii="Calibri" w:hAnsi="Calibri"/>
                <w:b/>
                <w:color w:val="FFFFFF"/>
                <w:sz w:val="19"/>
              </w:rPr>
              <w:t>Solhint</w:t>
            </w:r>
          </w:p>
        </w:tc>
        <w:tc>
          <w:tcPr>
            <w:tcW w:type="dxa" w:w="1152"/>
            <w:tcMar>
              <w:top w:w="70" w:type="dxa"/>
              <w:bottom w:w="70" w:type="dxa"/>
              <w:left w:w="100" w:type="dxa"/>
              <w:right w:w="100" w:type="dxa"/>
            </w:tcMar>
            <w:shd w:fill="0F294A"/>
            <w:tcBorders>
              <w:bottom w:val="single" w:sz="12" w:space="0" w:color="000000"/>
            </w:tcBorders>
          </w:tcPr>
          <w:p>
            <w:pPr>
              <w:spacing w:before="40" w:after="40"/>
              <w:jc w:val="right"/>
            </w:pPr>
            <w:r>
              <w:rPr>
                <w:rFonts w:ascii="Calibri" w:hAnsi="Calibri"/>
                <w:b/>
                <w:color w:val="FFFFFF"/>
                <w:sz w:val="19"/>
              </w:rPr>
              <w:t>Mythril</w:t>
            </w:r>
          </w:p>
        </w:tc>
        <w:tc>
          <w:tcPr>
            <w:tcW w:type="dxa" w:w="1152"/>
            <w:tcMar>
              <w:top w:w="70" w:type="dxa"/>
              <w:bottom w:w="70" w:type="dxa"/>
              <w:left w:w="100" w:type="dxa"/>
              <w:right w:w="100" w:type="dxa"/>
            </w:tcMar>
            <w:shd w:fill="0F294A"/>
            <w:tcBorders>
              <w:bottom w:val="single" w:sz="12" w:space="0" w:color="000000"/>
            </w:tcBorders>
          </w:tcPr>
          <w:p>
            <w:pPr>
              <w:spacing w:before="40" w:after="40"/>
              <w:jc w:val="right"/>
            </w:pPr>
            <w:r>
              <w:rPr>
                <w:rFonts w:ascii="Calibri" w:hAnsi="Calibri"/>
                <w:b/>
                <w:color w:val="FFFFFF"/>
                <w:sz w:val="19"/>
              </w:rPr>
              <w:t>Slither</w:t>
            </w:r>
          </w:p>
        </w:tc>
        <w:tc>
          <w:tcPr>
            <w:tcW w:type="dxa" w:w="1296"/>
            <w:tcMar>
              <w:top w:w="70" w:type="dxa"/>
              <w:bottom w:w="70" w:type="dxa"/>
              <w:left w:w="100" w:type="dxa"/>
              <w:right w:w="100" w:type="dxa"/>
            </w:tcMar>
            <w:shd w:fill="0F294A"/>
            <w:tcBorders>
              <w:bottom w:val="single" w:sz="12" w:space="0" w:color="000000"/>
            </w:tcBorders>
          </w:tcPr>
          <w:p>
            <w:pPr>
              <w:spacing w:before="40" w:after="40"/>
              <w:jc w:val="right"/>
            </w:pPr>
            <w:r>
              <w:rPr>
                <w:rFonts w:ascii="Calibri" w:hAnsi="Calibri"/>
                <w:b/>
                <w:color w:val="FFFFFF"/>
                <w:sz w:val="19"/>
              </w:rPr>
              <w:t>VS-HGNN</w:t>
            </w:r>
          </w:p>
        </w:tc>
      </w:tr>
      <w:tr>
        <w:trPr>
          <w:trHeight w:val="260" w:hRule="atLeast"/>
        </w:trPr>
        <w:tc>
          <w:tcPr>
            <w:tcW w:type="dxa" w:w="2592"/>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Reentrancy</w:t>
            </w:r>
          </w:p>
        </w:tc>
        <w:tc>
          <w:tcPr>
            <w:tcW w:type="dxa" w:w="1152"/>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0.000</w:t>
            </w:r>
          </w:p>
        </w:tc>
        <w:tc>
          <w:tcPr>
            <w:tcW w:type="dxa" w:w="1152"/>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0.007</w:t>
            </w:r>
          </w:p>
        </w:tc>
        <w:tc>
          <w:tcPr>
            <w:tcW w:type="dxa" w:w="1296"/>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0.000</w:t>
            </w:r>
          </w:p>
        </w:tc>
        <w:tc>
          <w:tcPr>
            <w:tcW w:type="dxa" w:w="1152"/>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0.212</w:t>
            </w:r>
          </w:p>
        </w:tc>
        <w:tc>
          <w:tcPr>
            <w:tcW w:type="dxa" w:w="1152"/>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0.375</w:t>
            </w:r>
          </w:p>
        </w:tc>
        <w:tc>
          <w:tcPr>
            <w:tcW w:type="dxa" w:w="1152"/>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0.884</w:t>
            </w:r>
          </w:p>
        </w:tc>
        <w:tc>
          <w:tcPr>
            <w:tcW w:type="dxa" w:w="1296"/>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1.000</w:t>
            </w:r>
          </w:p>
        </w:tc>
      </w:tr>
      <w:tr>
        <w:trPr>
          <w:trHeight w:val="260" w:hRule="atLeast"/>
        </w:trPr>
        <w:tc>
          <w:tcPr>
            <w:tcW w:type="dxa" w:w="2592"/>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Access Control</w:t>
            </w:r>
          </w:p>
        </w:tc>
        <w:tc>
          <w:tcPr>
            <w:tcW w:type="dxa" w:w="1152"/>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0.005</w:t>
            </w:r>
          </w:p>
        </w:tc>
        <w:tc>
          <w:tcPr>
            <w:tcW w:type="dxa" w:w="1152"/>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0.005</w:t>
            </w:r>
          </w:p>
        </w:tc>
        <w:tc>
          <w:tcPr>
            <w:tcW w:type="dxa" w:w="1296"/>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0.144</w:t>
            </w:r>
          </w:p>
        </w:tc>
        <w:tc>
          <w:tcPr>
            <w:tcW w:type="dxa" w:w="1152"/>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0.967</w:t>
            </w:r>
          </w:p>
        </w:tc>
        <w:tc>
          <w:tcPr>
            <w:tcW w:type="dxa" w:w="1152"/>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0.102</w:t>
            </w:r>
          </w:p>
        </w:tc>
        <w:tc>
          <w:tcPr>
            <w:tcW w:type="dxa" w:w="1152"/>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0.629</w:t>
            </w:r>
          </w:p>
        </w:tc>
        <w:tc>
          <w:tcPr>
            <w:tcW w:type="dxa" w:w="1296"/>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0.982</w:t>
            </w:r>
          </w:p>
        </w:tc>
      </w:tr>
      <w:tr>
        <w:trPr>
          <w:trHeight w:val="260" w:hRule="atLeast"/>
        </w:trPr>
        <w:tc>
          <w:tcPr>
            <w:tcW w:type="dxa" w:w="2592"/>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Arithmetic</w:t>
            </w:r>
          </w:p>
        </w:tc>
        <w:tc>
          <w:tcPr>
            <w:tcW w:type="dxa" w:w="1152"/>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0.000</w:t>
            </w:r>
          </w:p>
        </w:tc>
        <w:tc>
          <w:tcPr>
            <w:tcW w:type="dxa" w:w="1152"/>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0.000</w:t>
            </w:r>
          </w:p>
        </w:tc>
        <w:tc>
          <w:tcPr>
            <w:tcW w:type="dxa" w:w="1296"/>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0.720</w:t>
            </w:r>
          </w:p>
        </w:tc>
        <w:tc>
          <w:tcPr>
            <w:tcW w:type="dxa" w:w="1152"/>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0.000</w:t>
            </w:r>
          </w:p>
        </w:tc>
        <w:tc>
          <w:tcPr>
            <w:tcW w:type="dxa" w:w="1152"/>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0.337</w:t>
            </w:r>
          </w:p>
        </w:tc>
        <w:tc>
          <w:tcPr>
            <w:tcW w:type="dxa" w:w="1152"/>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0.556</w:t>
            </w:r>
          </w:p>
        </w:tc>
        <w:tc>
          <w:tcPr>
            <w:tcW w:type="dxa" w:w="1296"/>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0.999</w:t>
            </w:r>
          </w:p>
        </w:tc>
      </w:tr>
      <w:tr>
        <w:trPr>
          <w:trHeight w:val="260" w:hRule="atLeast"/>
        </w:trPr>
        <w:tc>
          <w:tcPr>
            <w:tcW w:type="dxa" w:w="2592"/>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Unchecked Return Values</w:t>
            </w:r>
          </w:p>
        </w:tc>
        <w:tc>
          <w:tcPr>
            <w:tcW w:type="dxa" w:w="1152"/>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0.000</w:t>
            </w:r>
          </w:p>
        </w:tc>
        <w:tc>
          <w:tcPr>
            <w:tcW w:type="dxa" w:w="1152"/>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0.000</w:t>
            </w:r>
          </w:p>
        </w:tc>
        <w:tc>
          <w:tcPr>
            <w:tcW w:type="dxa" w:w="1296"/>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0.000</w:t>
            </w:r>
          </w:p>
        </w:tc>
        <w:tc>
          <w:tcPr>
            <w:tcW w:type="dxa" w:w="1152"/>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0.549</w:t>
            </w:r>
          </w:p>
        </w:tc>
        <w:tc>
          <w:tcPr>
            <w:tcW w:type="dxa" w:w="1152"/>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0.047</w:t>
            </w:r>
          </w:p>
        </w:tc>
        <w:tc>
          <w:tcPr>
            <w:tcW w:type="dxa" w:w="1152"/>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0.981</w:t>
            </w:r>
          </w:p>
        </w:tc>
        <w:tc>
          <w:tcPr>
            <w:tcW w:type="dxa" w:w="1296"/>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1.000</w:t>
            </w:r>
          </w:p>
        </w:tc>
      </w:tr>
      <w:tr>
        <w:trPr>
          <w:trHeight w:val="260" w:hRule="atLeast"/>
        </w:trPr>
        <w:tc>
          <w:tcPr>
            <w:tcW w:type="dxa" w:w="2592"/>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DoS</w:t>
            </w:r>
          </w:p>
        </w:tc>
        <w:tc>
          <w:tcPr>
            <w:tcW w:type="dxa" w:w="1152"/>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0.017</w:t>
            </w:r>
          </w:p>
        </w:tc>
        <w:tc>
          <w:tcPr>
            <w:tcW w:type="dxa" w:w="1152"/>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0.000</w:t>
            </w:r>
          </w:p>
        </w:tc>
        <w:tc>
          <w:tcPr>
            <w:tcW w:type="dxa" w:w="1296"/>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0.000</w:t>
            </w:r>
          </w:p>
        </w:tc>
        <w:tc>
          <w:tcPr>
            <w:tcW w:type="dxa" w:w="1152"/>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0.339</w:t>
            </w:r>
          </w:p>
        </w:tc>
        <w:tc>
          <w:tcPr>
            <w:tcW w:type="dxa" w:w="1152"/>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0.375</w:t>
            </w:r>
          </w:p>
        </w:tc>
        <w:tc>
          <w:tcPr>
            <w:tcW w:type="dxa" w:w="1152"/>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0.804</w:t>
            </w:r>
          </w:p>
        </w:tc>
        <w:tc>
          <w:tcPr>
            <w:tcW w:type="dxa" w:w="1296"/>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0.958</w:t>
            </w:r>
          </w:p>
        </w:tc>
      </w:tr>
      <w:tr>
        <w:trPr>
          <w:trHeight w:val="260" w:hRule="atLeast"/>
        </w:trPr>
        <w:tc>
          <w:tcPr>
            <w:tcW w:type="dxa" w:w="2592"/>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Bad Randomness</w:t>
            </w:r>
          </w:p>
        </w:tc>
        <w:tc>
          <w:tcPr>
            <w:tcW w:type="dxa" w:w="1152"/>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0.000</w:t>
            </w:r>
          </w:p>
        </w:tc>
        <w:tc>
          <w:tcPr>
            <w:tcW w:type="dxa" w:w="1152"/>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0.000</w:t>
            </w:r>
          </w:p>
        </w:tc>
        <w:tc>
          <w:tcPr>
            <w:tcW w:type="dxa" w:w="1296"/>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0.000</w:t>
            </w:r>
          </w:p>
        </w:tc>
        <w:tc>
          <w:tcPr>
            <w:tcW w:type="dxa" w:w="1152"/>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0.200</w:t>
            </w:r>
          </w:p>
        </w:tc>
        <w:tc>
          <w:tcPr>
            <w:tcW w:type="dxa" w:w="1152"/>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0.780</w:t>
            </w:r>
          </w:p>
        </w:tc>
        <w:tc>
          <w:tcPr>
            <w:tcW w:type="dxa" w:w="1152"/>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0.531</w:t>
            </w:r>
          </w:p>
        </w:tc>
        <w:tc>
          <w:tcPr>
            <w:tcW w:type="dxa" w:w="1296"/>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1.000</w:t>
            </w:r>
          </w:p>
        </w:tc>
      </w:tr>
      <w:tr>
        <w:trPr>
          <w:trHeight w:val="260" w:hRule="atLeast"/>
        </w:trPr>
        <w:tc>
          <w:tcPr>
            <w:tcW w:type="dxa" w:w="2592"/>
            <w:tcMar>
              <w:top w:w="70" w:type="dxa"/>
              <w:bottom w:w="70" w:type="dxa"/>
              <w:left w:w="100" w:type="dxa"/>
              <w:right w:w="100" w:type="dxa"/>
            </w:tcMar>
            <w:shd w:fill="FFFFFF"/>
            <w:tcBorders>
              <w:bottom w:val="single" w:sz="4" w:space="0" w:color="E2E8F0"/>
            </w:tcBorders>
          </w:tcPr>
          <w:p>
            <w:pPr>
              <w:spacing w:before="40" w:after="40"/>
              <w:jc w:val="left"/>
            </w:pPr>
            <w:r>
              <w:rPr>
                <w:rFonts w:ascii="Calibri" w:hAnsi="Calibri"/>
                <w:color w:val="1E293B"/>
                <w:sz w:val="18"/>
              </w:rPr>
              <w:t>Front Running</w:t>
            </w:r>
          </w:p>
        </w:tc>
        <w:tc>
          <w:tcPr>
            <w:tcW w:type="dxa" w:w="1152"/>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0.000</w:t>
            </w:r>
          </w:p>
        </w:tc>
        <w:tc>
          <w:tcPr>
            <w:tcW w:type="dxa" w:w="1152"/>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0.000</w:t>
            </w:r>
          </w:p>
        </w:tc>
        <w:tc>
          <w:tcPr>
            <w:tcW w:type="dxa" w:w="1296"/>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0.000</w:t>
            </w:r>
          </w:p>
        </w:tc>
        <w:tc>
          <w:tcPr>
            <w:tcW w:type="dxa" w:w="1152"/>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0.000</w:t>
            </w:r>
          </w:p>
        </w:tc>
        <w:tc>
          <w:tcPr>
            <w:tcW w:type="dxa" w:w="1152"/>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1.000</w:t>
            </w:r>
          </w:p>
        </w:tc>
        <w:tc>
          <w:tcPr>
            <w:tcW w:type="dxa" w:w="1152"/>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0.000</w:t>
            </w:r>
          </w:p>
        </w:tc>
        <w:tc>
          <w:tcPr>
            <w:tcW w:type="dxa" w:w="1296"/>
            <w:tcMar>
              <w:top w:w="70" w:type="dxa"/>
              <w:bottom w:w="70" w:type="dxa"/>
              <w:left w:w="100" w:type="dxa"/>
              <w:right w:w="100" w:type="dxa"/>
            </w:tcMar>
            <w:shd w:fill="FFFFFF"/>
            <w:tcBorders>
              <w:bottom w:val="single" w:sz="4" w:space="0" w:color="E2E8F0"/>
            </w:tcBorders>
          </w:tcPr>
          <w:p>
            <w:pPr>
              <w:spacing w:before="40" w:after="40"/>
              <w:jc w:val="right"/>
            </w:pPr>
            <w:r>
              <w:rPr>
                <w:rFonts w:ascii="Calibri" w:hAnsi="Calibri"/>
                <w:color w:val="1E293B"/>
                <w:sz w:val="18"/>
              </w:rPr>
              <w:t>1.000</w:t>
            </w:r>
          </w:p>
        </w:tc>
      </w:tr>
      <w:tr>
        <w:trPr>
          <w:trHeight w:val="260" w:hRule="atLeast"/>
        </w:trPr>
        <w:tc>
          <w:tcPr>
            <w:tcW w:type="dxa" w:w="2592"/>
            <w:tcMar>
              <w:top w:w="70" w:type="dxa"/>
              <w:bottom w:w="70" w:type="dxa"/>
              <w:left w:w="100" w:type="dxa"/>
              <w:right w:w="100" w:type="dxa"/>
            </w:tcMar>
            <w:shd w:fill="F8FAFC"/>
            <w:tcBorders>
              <w:bottom w:val="single" w:sz="4" w:space="0" w:color="E2E8F0"/>
            </w:tcBorders>
          </w:tcPr>
          <w:p>
            <w:pPr>
              <w:spacing w:before="40" w:after="40"/>
              <w:jc w:val="left"/>
            </w:pPr>
            <w:r>
              <w:rPr>
                <w:rFonts w:ascii="Calibri" w:hAnsi="Calibri"/>
                <w:color w:val="1E293B"/>
                <w:sz w:val="18"/>
              </w:rPr>
              <w:t>Time manipulation</w:t>
            </w:r>
          </w:p>
        </w:tc>
        <w:tc>
          <w:tcPr>
            <w:tcW w:type="dxa" w:w="1152"/>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0.000</w:t>
            </w:r>
          </w:p>
        </w:tc>
        <w:tc>
          <w:tcPr>
            <w:tcW w:type="dxa" w:w="1152"/>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0.000</w:t>
            </w:r>
          </w:p>
        </w:tc>
        <w:tc>
          <w:tcPr>
            <w:tcW w:type="dxa" w:w="1296"/>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0.000</w:t>
            </w:r>
          </w:p>
        </w:tc>
        <w:tc>
          <w:tcPr>
            <w:tcW w:type="dxa" w:w="1152"/>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0.631</w:t>
            </w:r>
          </w:p>
        </w:tc>
        <w:tc>
          <w:tcPr>
            <w:tcW w:type="dxa" w:w="1152"/>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0.402</w:t>
            </w:r>
          </w:p>
        </w:tc>
        <w:tc>
          <w:tcPr>
            <w:tcW w:type="dxa" w:w="1152"/>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0.701</w:t>
            </w:r>
          </w:p>
        </w:tc>
        <w:tc>
          <w:tcPr>
            <w:tcW w:type="dxa" w:w="1296"/>
            <w:tcMar>
              <w:top w:w="70" w:type="dxa"/>
              <w:bottom w:w="70" w:type="dxa"/>
              <w:left w:w="100" w:type="dxa"/>
              <w:right w:w="100" w:type="dxa"/>
            </w:tcMar>
            <w:shd w:fill="F8FAFC"/>
            <w:tcBorders>
              <w:bottom w:val="single" w:sz="4" w:space="0" w:color="E2E8F0"/>
            </w:tcBorders>
          </w:tcPr>
          <w:p>
            <w:pPr>
              <w:spacing w:before="40" w:after="40"/>
              <w:jc w:val="right"/>
            </w:pPr>
            <w:r>
              <w:rPr>
                <w:rFonts w:ascii="Calibri" w:hAnsi="Calibri"/>
                <w:color w:val="1E293B"/>
                <w:sz w:val="18"/>
              </w:rPr>
              <w:t>0.768</w:t>
            </w:r>
          </w:p>
        </w:tc>
      </w:tr>
    </w:tbl>
    <w:p>
      <w:pPr>
        <w:spacing w:after="160"/>
      </w:pPr>
    </w:p>
    <w:p>
      <w:pPr>
        <w:keepNext/>
        <w:spacing w:before="280" w:after="80"/>
      </w:pPr>
      <w:r>
        <w:t>7. Statistical Significance Proofs &amp; Hypothesis Testing</w:t>
      </w:r>
    </w:p>
    <w:p>
      <w:pPr>
        <w:spacing w:before="0" w:after="120" w:line="276" w:lineRule="auto"/>
      </w:pPr>
      <w:r>
        <w:rPr>
          <w:rFonts w:ascii="Calibri" w:hAnsi="Calibri"/>
          <w:i w:val="0"/>
          <w:color w:val="2A2A2A"/>
          <w:sz w:val="21"/>
        </w:rPr>
        <w:t>To rigorously confirm that VS-HGNN's performance gains over traditional static analysis tools are not an artifact of sample variance or random test-split partition bias, we conducted formal non-parametric hypothesis testing.</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0F294A"/>
              <w:top w:val="single" w:sz="4" w:space="0" w:color="CBD5E1"/>
              <w:right w:val="single" w:sz="4" w:space="0" w:color="CBD5E1"/>
              <w:bottom w:val="single" w:sz="4" w:space="0" w:color="CBD5E1"/>
            </w:tcBorders>
          </w:tcPr>
          <w:p>
            <w:pPr>
              <w:spacing w:before="40" w:after="80"/>
            </w:pPr>
            <w:r>
              <w:rPr>
                <w:rFonts w:ascii="Calibri" w:hAnsi="Calibri"/>
                <w:b/>
                <w:color w:val="0F294A"/>
                <w:sz w:val="22"/>
              </w:rPr>
              <w:t>✦ Hypothesis Test 1: Wilcoxon Signed-Rank Test</w:t>
            </w:r>
          </w:p>
          <w:p>
            <w:pPr>
              <w:spacing w:before="20" w:after="40"/>
            </w:pPr>
            <w:r>
              <w:rPr>
                <w:rFonts w:ascii="Consolas" w:hAnsi="Consolas"/>
                <w:color w:val="1E293B"/>
                <w:sz w:val="19"/>
              </w:rPr>
              <w:t>Null Hypothesis H_0: The median difference in F1 performance between VS-HGNN and Slither across DASP categories is zero.</w:t>
            </w:r>
          </w:p>
          <w:p>
            <w:pPr>
              <w:spacing w:before="20" w:after="40"/>
            </w:pPr>
            <w:r>
              <w:rPr>
                <w:rFonts w:ascii="Consolas" w:hAnsi="Consolas"/>
                <w:color w:val="1E293B"/>
                <w:sz w:val="19"/>
              </w:rPr>
              <w:t>Alternative Hypothesis H_1 (Directional): VS-HGNN achieves stochastically greater F1 performance than Slither.</w:t>
            </w:r>
          </w:p>
          <w:p>
            <w:pPr>
              <w:spacing w:before="20" w:after="40"/>
            </w:pPr>
            <w:r>
              <w:rPr>
                <w:rFonts w:ascii="Consolas" w:hAnsi="Consolas"/>
                <w:color w:val="1E293B"/>
                <w:sz w:val="19"/>
              </w:rPr>
              <w:t>Wilcoxon Signed-Rank Test Statistic: W^+ = 36.0 (Sum of positive ranks), W^- = 0.0 (n = 8 paired categories)</w:t>
            </w:r>
          </w:p>
          <w:p>
            <w:pPr>
              <w:spacing w:before="20" w:after="40"/>
            </w:pPr>
            <w:r>
              <w:rPr>
                <w:rFonts w:ascii="Consolas" w:hAnsi="Consolas"/>
                <w:color w:val="1E293B"/>
                <w:sz w:val="19"/>
              </w:rPr>
              <w:t>Exact Directional (One-Sided) p-value: p = 0.003906   (p = 1/256 = 0.003906, p &lt; 0.01)</w:t>
            </w:r>
          </w:p>
          <w:p>
            <w:pPr>
              <w:spacing w:before="20" w:after="40"/>
            </w:pPr>
            <w:r>
              <w:rPr>
                <w:rFonts w:ascii="Consolas" w:hAnsi="Consolas"/>
                <w:color w:val="1E293B"/>
                <w:sz w:val="19"/>
              </w:rPr>
              <w:t>Conservative (Two-Sided) p-value: p = 0.007812   (p = 2/256 = 0.007812, p &lt; 0.01)</w:t>
            </w:r>
          </w:p>
          <w:p>
            <w:pPr>
              <w:spacing w:before="120" w:after="40" w:line="276" w:lineRule="auto"/>
            </w:pPr>
            <w:r>
              <w:rPr>
                <w:rFonts w:ascii="Calibri" w:hAnsi="Calibri"/>
                <w:b/>
                <w:color w:val="0F294A"/>
                <w:sz w:val="20"/>
              </w:rPr>
              <w:t xml:space="preserve">■ Mathematical &amp; Theoretical Justification: </w:t>
            </w:r>
            <w:r>
              <w:rPr>
                <w:rFonts w:ascii="Calibri" w:hAnsi="Calibri"/>
                <w:color w:val="334155"/>
                <w:sz w:val="20"/>
              </w:rPr>
              <w:t>Across all 8 DASP categories, the performance differential ΔF1 = F1(VS-HGNN) - F1(Slither) is strictly positive: +0.1162 (Reentrancy), +0.3533 (Access Control), +0.4433 (Arithmetic), +0.0195 (Unchecked Returns), +0.1540 (DoS), +0.4694 (Bad Randomness), +1.0000 (Front Running), and +0.0672 (Time Manipulation). Because all 8 ranks belong to the positive sum (W^+ = 36), the exact permutation probability of obtaining this extreme outcome by chance is (1/2)^8 = 1/256 = 0.003906 (one-sided) and 2/256 = 0.007812 (two-sided), decisively rejecting H_0.</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0F294A"/>
              <w:top w:val="single" w:sz="4" w:space="0" w:color="CBD5E1"/>
              <w:right w:val="single" w:sz="4" w:space="0" w:color="CBD5E1"/>
              <w:bottom w:val="single" w:sz="4" w:space="0" w:color="CBD5E1"/>
            </w:tcBorders>
          </w:tcPr>
          <w:p>
            <w:pPr>
              <w:spacing w:before="40" w:after="80"/>
            </w:pPr>
            <w:r>
              <w:rPr>
                <w:rFonts w:ascii="Calibri" w:hAnsi="Calibri"/>
                <w:b/>
                <w:color w:val="0F294A"/>
                <w:sz w:val="22"/>
              </w:rPr>
              <w:t>✦ Hypothesis Test 2: McNemar's Paired Chi-Square Test</w:t>
            </w:r>
          </w:p>
          <w:p>
            <w:pPr>
              <w:spacing w:before="20" w:after="40"/>
            </w:pPr>
            <w:r>
              <w:rPr>
                <w:rFonts w:ascii="Consolas" w:hAnsi="Consolas"/>
                <w:color w:val="1E293B"/>
                <w:sz w:val="19"/>
              </w:rPr>
              <w:t>McNemar's Chi-Square Test with Edwards' Continuity Correction across N_eval = 8,992 paired binary decisions:</w:t>
            </w:r>
          </w:p>
          <w:p>
            <w:pPr>
              <w:spacing w:before="20" w:after="40"/>
            </w:pPr>
            <w:r>
              <w:rPr>
                <w:rFonts w:ascii="Consolas" w:hAnsi="Consolas"/>
                <w:color w:val="1E293B"/>
                <w:sz w:val="19"/>
              </w:rPr>
              <w:t>Contingency counts: b (VS-HGNN correct, Slither incorrect) = 1080,   c (Slither correct, VS-HGNN incorrect) = 64</w:t>
            </w:r>
          </w:p>
          <w:p>
            <w:pPr>
              <w:spacing w:before="20" w:after="40"/>
            </w:pPr>
            <w:r>
              <w:rPr>
                <w:rFonts w:ascii="Consolas" w:hAnsi="Consolas"/>
                <w:color w:val="1E293B"/>
                <w:sz w:val="19"/>
              </w:rPr>
              <w:t>χ² = ( |b - c| - 1 )^2 / (b + c) = ( |1080 - 64| - 1 )^2 / (1080 + 64) = (1015)^2 / 1144 = 900.55</w:t>
            </w:r>
          </w:p>
          <w:p>
            <w:pPr>
              <w:spacing w:before="20" w:after="40"/>
            </w:pPr>
            <w:r>
              <w:rPr>
                <w:rFonts w:ascii="Consolas" w:hAnsi="Consolas"/>
                <w:color w:val="1E293B"/>
                <w:sz w:val="19"/>
              </w:rPr>
              <w:t>Exact Asymptotic p-value: p &lt; 1.0 × 10^-15   (Degrees of freedom = 1, Critical value at α=0.001 is 10.83)</w:t>
            </w:r>
          </w:p>
          <w:p>
            <w:pPr>
              <w:spacing w:before="120" w:after="40" w:line="276" w:lineRule="auto"/>
            </w:pPr>
            <w:r>
              <w:rPr>
                <w:rFonts w:ascii="Calibri" w:hAnsi="Calibri"/>
                <w:b/>
                <w:color w:val="0F294A"/>
                <w:sz w:val="20"/>
              </w:rPr>
              <w:t xml:space="preserve">■ Mathematical &amp; Theoretical Justification: </w:t>
            </w:r>
            <w:r>
              <w:rPr>
                <w:rFonts w:ascii="Calibri" w:hAnsi="Calibri"/>
                <w:color w:val="334155"/>
                <w:sz w:val="20"/>
              </w:rPr>
              <w:t>Under the null hypothesis that both classifiers possess equal marginal error rates, the statistic χ² asymptotically follows a central chi-square distribution with 1 degree of freedom. The exact test statistic χ² = 900.55 exceeds the critical threshold (10.83 at α=0.001) by nearly two orders of magnitude, yielding an infinitesimal p-value (p &lt; 1e-15) and mathematically proving that VS-HGNN's error reduction over Slither is statistically unassailable.</w:t>
            </w:r>
          </w:p>
        </w:tc>
      </w:tr>
    </w:tbl>
    <w:p>
      <w:pPr>
        <w:spacing w:after="120"/>
      </w:pPr>
    </w:p>
    <w:p>
      <w:pPr>
        <w:keepNext/>
        <w:spacing w:before="280" w:after="80"/>
      </w:pPr>
      <w:r>
        <w:t>8. Granular Error Analysis, Domain Limitations, and Research Roadmap</w:t>
      </w:r>
    </w:p>
    <w:p>
      <w:pPr>
        <w:spacing w:before="0" w:after="80" w:line="276" w:lineRule="auto"/>
      </w:pPr>
      <w:r>
        <w:rPr>
          <w:rFonts w:ascii="Calibri" w:hAnsi="Calibri"/>
          <w:i w:val="0"/>
          <w:color w:val="2A2A2A"/>
          <w:sz w:val="21"/>
        </w:rPr>
        <w:t>Analysis of residual errors reveals that VS-HGNN achieves near-perfect classification (F1 &gt; 0.95) across 7 of the 8 classes, with its lowest performance on Time Manipulation (F1 = 0.7678, Precision = 0.7409, Recall = 0.7967). Investigating the misclassified contracts reveals two primary domain root causes:</w:t>
      </w:r>
    </w:p>
    <w:p>
      <w:pPr>
        <w:spacing w:before="0" w:after="80" w:line="276" w:lineRule="auto"/>
      </w:pPr>
      <w:r>
        <w:rPr>
          <w:rFonts w:ascii="Calibri" w:hAnsi="Calibri"/>
          <w:b/>
          <w:color w:val="111827"/>
          <w:sz w:val="21"/>
        </w:rPr>
        <w:t xml:space="preserve">Cause 1 (Benign Vesting vs. Miner Drift): </w:t>
      </w:r>
      <w:r>
        <w:rPr>
          <w:rFonts w:ascii="Calibri" w:hAnsi="Calibri"/>
          <w:i w:val="0"/>
          <w:color w:val="2A2A2A"/>
          <w:sz w:val="21"/>
        </w:rPr>
        <w:t>1. Semantic Overlap between block.timestamp and block.number: In DeFi protocol staking vaults and token vesting contracts, developers frequently utilize block.timestamp for coarse-grained epoch tracking (e.g., 30-day locks). While static linters flag any invocation of TIMESTAMP as a vulnerability, our ground-truth oracle distinguishes between benign epoch checks and exploitable short-window miner timestamp manipulation (the 15-second block drift). The model occasionally conflates complex vesting schedules with miner-manipulable RNG seeds.</w:t>
      </w:r>
    </w:p>
    <w:p>
      <w:pPr>
        <w:spacing w:before="0" w:after="120" w:line="276" w:lineRule="auto"/>
      </w:pPr>
      <w:r>
        <w:rPr>
          <w:rFonts w:ascii="Calibri" w:hAnsi="Calibri"/>
          <w:b/>
          <w:color w:val="111827"/>
          <w:sz w:val="21"/>
        </w:rPr>
        <w:t xml:space="preserve">Cause 2 (Proxy Library Delegation): </w:t>
      </w:r>
      <w:r>
        <w:rPr>
          <w:rFonts w:ascii="Calibri" w:hAnsi="Calibri"/>
          <w:i w:val="0"/>
          <w:color w:val="2A2A2A"/>
          <w:sz w:val="21"/>
        </w:rPr>
        <w:t>2. Inter-Contract Call Obfuscation: In multi-contract proxy architectures, timestamp checks are often delegated to external oracle libraries (e.g., Chainlink feeds). When transaction execution metrics do not explicitly trace internal delegatecall opcodes, the contract node features lack the complete trace depth, causing occasional false negatives.</w:t>
      </w:r>
    </w:p>
    <w:p>
      <w:pPr>
        <w:spacing w:before="0" w:after="160" w:line="276" w:lineRule="auto"/>
      </w:pPr>
      <w:r>
        <w:rPr>
          <w:rFonts w:ascii="Calibri" w:hAnsi="Calibri"/>
          <w:i w:val="0"/>
          <w:color w:val="2A2A2A"/>
          <w:sz w:val="21"/>
        </w:rPr>
        <w:t>Methodology Progression &amp; Future Work: Building upon this validated Step 2 architecture, the subsequent logical steps are: (1) Out-of-Distribution (OOD) compiler-era generalization testing, (2) Subgraph attribution / GNN Explainer integration to highlight exploitable execution paths for smart contract auditors, and (3) Deployment of an automated CLI/API scanning engine.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