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66C6" w14:textId="24FB523C" w:rsidR="001528F3" w:rsidRDefault="25B35A5A" w:rsidP="2ECD5E9A">
      <w:pPr>
        <w:pStyle w:val="Heading1"/>
        <w:jc w:val="center"/>
      </w:pPr>
      <w:r w:rsidRPr="2ECD5E9A">
        <w:t>Explanatory document</w:t>
      </w:r>
    </w:p>
    <w:p w14:paraId="1FBA03BD" w14:textId="22C0BF35" w:rsidR="00F242CF" w:rsidRPr="00F242CF" w:rsidRDefault="00F242CF" w:rsidP="00F242CF">
      <w:pPr>
        <w:jc w:val="center"/>
        <w:rPr>
          <w:color w:val="000000" w:themeColor="text1"/>
        </w:rPr>
      </w:pPr>
      <w:r w:rsidRPr="00F242CF">
        <w:rPr>
          <w:rFonts w:ascii="Georgia" w:hAnsi="Georgia"/>
          <w:color w:val="000000" w:themeColor="text1"/>
        </w:rPr>
        <w:t>Laxmi Lahari Naidu Bugata</w:t>
      </w:r>
      <w:r w:rsidRPr="00F242CF">
        <w:rPr>
          <w:rFonts w:ascii="Georgia" w:hAnsi="Georgia"/>
          <w:color w:val="000000" w:themeColor="text1"/>
        </w:rPr>
        <w:br/>
        <w:t>Student ID: 2930252</w:t>
      </w:r>
    </w:p>
    <w:p w14:paraId="5698A9BD" w14:textId="49975CCF" w:rsidR="001528F3" w:rsidRDefault="001528F3" w:rsidP="2ECD5E9A"/>
    <w:p w14:paraId="04D85F4E" w14:textId="5A2E268E" w:rsidR="001528F3" w:rsidRDefault="25B35A5A" w:rsidP="2ECD5E9A">
      <w:pPr>
        <w:jc w:val="both"/>
        <w:rPr>
          <w:rFonts w:ascii="Georgia" w:eastAsia="Georgia" w:hAnsi="Georgia" w:cs="Georgia"/>
        </w:rPr>
      </w:pPr>
      <w:r w:rsidRPr="2ECD5E9A">
        <w:rPr>
          <w:rFonts w:ascii="Georgia" w:eastAsia="Georgia" w:hAnsi="Georgia" w:cs="Georgia"/>
        </w:rPr>
        <w:t>Explainable AI, or XAI, refers to methods that help people understand how and why an AI system produced a result. In large language models such as GPT, Claude, Gemini, and LLaMA, explainability is especially important because these systems are used in high-stakes areas like healthcare, finance, education, and law, yet their outputs emerge from extremely complex internal patterns rather than from simple, human-readable rules. OpenAI explains that its models are guided by a published Model Spec that defines intended behavior and trade-offs, while Anthropic publishes Claude’s constitution to explain the principles shaping model responses. Google’s Gemini model cards similarly present intended use, known limitations, mitigation approaches, and safety information, and Meta uses system cards as a public-facing transparency mechanism to explain how its AI systems operate.</w:t>
      </w:r>
    </w:p>
    <w:p w14:paraId="2BA98679" w14:textId="0D2FFB8B" w:rsidR="001528F3" w:rsidRDefault="25B35A5A" w:rsidP="2ECD5E9A">
      <w:pPr>
        <w:jc w:val="both"/>
        <w:rPr>
          <w:rFonts w:ascii="Georgia" w:eastAsia="Georgia" w:hAnsi="Georgia" w:cs="Georgia"/>
        </w:rPr>
      </w:pPr>
      <w:r w:rsidRPr="2ECD5E9A">
        <w:rPr>
          <w:rFonts w:ascii="Georgia" w:eastAsia="Georgia" w:hAnsi="Georgia" w:cs="Georgia"/>
        </w:rPr>
        <w:t>The graphic should emphasize that the main challenge in explaining generative AI is not just complexity, but also the gap between an answer and the true internal process that produced it. These models operate as distributed systems with billions of parameters, so no single neuron or rule fully explains an output, and post-hoc explanations may sound convincing without perfectly reflecting the underlying computation. OpenAI’s published material notes that production systems still do not fully reflect the full specification and must be iteratively refined, which reinforces the idea that explainability and reliability are ongoing engineering goals rather than solved problems. Another major challenge is data quality and bias: if training data contains imbalance, stereotypes, errors, or noisy information, the model can reproduce those problems in subtle or harmful ways. Model cards and system cards are valuable because they document intended uses, limitations, risks, testing, and mitigation strategies, helping organizations communicate what a model can and cannot reliably do.</w:t>
      </w:r>
    </w:p>
    <w:p w14:paraId="2D763C72" w14:textId="63F61021" w:rsidR="001528F3" w:rsidRDefault="25B35A5A" w:rsidP="2ECD5E9A">
      <w:pPr>
        <w:jc w:val="both"/>
        <w:rPr>
          <w:rFonts w:ascii="Georgia" w:eastAsia="Georgia" w:hAnsi="Georgia" w:cs="Georgia"/>
        </w:rPr>
      </w:pPr>
      <w:r w:rsidRPr="2ECD5E9A">
        <w:rPr>
          <w:rFonts w:ascii="Georgia" w:eastAsia="Georgia" w:hAnsi="Georgia" w:cs="Georgia"/>
        </w:rPr>
        <w:t xml:space="preserve">Validation techniques and performance metrics are central to trustworthy AI because they test whether a model is accurate, safe, stable, and appropriate for deployment. OpenAI’s safety evaluation efforts include publishing results on hallucinations, jailbreak resistance, and harmful content, showing that organizations increasingly use measurable benchmarks to track model behavior over time. In practice, useful metrics include correctness, answer relevance, hallucination rate, faithfulness to source context, bias and toxicity indicators, and task-completion success. Validation also includes human review, red-teaming, benchmark testing, adversarial prompting, and comparison against ground </w:t>
      </w:r>
      <w:r w:rsidRPr="2ECD5E9A">
        <w:rPr>
          <w:rFonts w:ascii="Georgia" w:eastAsia="Georgia" w:hAnsi="Georgia" w:cs="Georgia"/>
        </w:rPr>
        <w:lastRenderedPageBreak/>
        <w:t>truth or trusted references, especially in high-risk domains where a model should not evaluate itself without oversight.</w:t>
      </w:r>
    </w:p>
    <w:p w14:paraId="2D848D79" w14:textId="608A091C" w:rsidR="001528F3" w:rsidRDefault="25B35A5A" w:rsidP="2ECD5E9A">
      <w:pPr>
        <w:jc w:val="both"/>
        <w:rPr>
          <w:rFonts w:ascii="Georgia" w:eastAsia="Georgia" w:hAnsi="Georgia" w:cs="Georgia"/>
        </w:rPr>
      </w:pPr>
      <w:r w:rsidRPr="2ECD5E9A">
        <w:rPr>
          <w:rFonts w:ascii="Georgia" w:eastAsia="Georgia" w:hAnsi="Georgia" w:cs="Georgia"/>
        </w:rPr>
        <w:t>My design choices for the visual artifact should reflect clarity, relationship mapping, and accessibility for a non-technical audience. A strong design would use a four-part structure: definition and importance of XAI, major explainability challenges, validation and performance metrics, and current industry solutions from OpenAI, Meta, Google, and Anthropic. This layout directly supports the rubric because it improves classification accuracy, makes relationships easy to see, and demonstrates comprehensiveness without overwhelming the viewer. The visual hierarchy should guide the audience from “why explainability matters” to “what makes it difficult,” then to “how industry is responding,” and finally to “how validation and metrics build trust.”</w:t>
      </w:r>
    </w:p>
    <w:p w14:paraId="1E15FD54" w14:textId="4BC2675B" w:rsidR="001528F3" w:rsidRDefault="001528F3" w:rsidP="2ECD5E9A">
      <w:pPr>
        <w:jc w:val="both"/>
      </w:pPr>
    </w:p>
    <w:p w14:paraId="2C078E63" w14:textId="565132EB" w:rsidR="001528F3" w:rsidRDefault="001528F3" w:rsidP="2ECD5E9A"/>
    <w:sectPr w:rsidR="00152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48FE67"/>
    <w:rsid w:val="001528F3"/>
    <w:rsid w:val="00AA71CB"/>
    <w:rsid w:val="00F242CF"/>
    <w:rsid w:val="25B35A5A"/>
    <w:rsid w:val="2ECD5E9A"/>
    <w:rsid w:val="4A0BA6BE"/>
    <w:rsid w:val="5248F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090A"/>
  <w15:chartTrackingRefBased/>
  <w15:docId w15:val="{1A7FDF05-6E42-4F3F-B3FB-57B0DD20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ECD5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ECD5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74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 Lahari Naidu Bugata</dc:creator>
  <cp:keywords/>
  <dc:description/>
  <cp:lastModifiedBy>Laxmi Lahari Na Bugata</cp:lastModifiedBy>
  <cp:revision>2</cp:revision>
  <dcterms:created xsi:type="dcterms:W3CDTF">2026-06-08T03:55:00Z</dcterms:created>
  <dcterms:modified xsi:type="dcterms:W3CDTF">2026-06-12T21:10:00Z</dcterms:modified>
</cp:coreProperties>
</file>